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86C" w:rsidRDefault="00B9786C" w:rsidP="00B9786C">
      <w:pPr>
        <w:widowControl w:val="0"/>
        <w:tabs>
          <w:tab w:val="right" w:leader="hyphen" w:pos="9072"/>
        </w:tabs>
        <w:suppressAutoHyphens/>
        <w:ind w:left="567" w:hanging="567"/>
        <w:jc w:val="both"/>
        <w:rPr>
          <w:b/>
          <w:bCs/>
          <w:sz w:val="24"/>
          <w:szCs w:val="24"/>
          <w:lang w:val="cs-CZ"/>
        </w:rPr>
      </w:pPr>
      <w:r>
        <w:rPr>
          <w:b/>
          <w:bCs/>
          <w:sz w:val="24"/>
          <w:szCs w:val="24"/>
          <w:lang w:val="cs-CZ"/>
        </w:rPr>
        <w:t>---------------------------------------STANOVY SPOLEČNOSTI</w:t>
      </w:r>
      <w:r>
        <w:rPr>
          <w:b/>
          <w:bCs/>
          <w:sz w:val="24"/>
          <w:szCs w:val="24"/>
          <w:lang w:val="cs-CZ"/>
        </w:rPr>
        <w:tab/>
      </w:r>
    </w:p>
    <w:p w:rsidR="00B9786C" w:rsidRDefault="00B9786C" w:rsidP="00B9786C">
      <w:pPr>
        <w:widowControl w:val="0"/>
        <w:tabs>
          <w:tab w:val="right" w:leader="hyphen" w:pos="9072"/>
        </w:tabs>
        <w:suppressAutoHyphens/>
        <w:ind w:left="567" w:hanging="567"/>
        <w:jc w:val="both"/>
        <w:rPr>
          <w:b/>
          <w:bCs/>
          <w:sz w:val="24"/>
          <w:szCs w:val="24"/>
          <w:lang w:val="cs-CZ"/>
        </w:rPr>
      </w:pPr>
      <w:r>
        <w:rPr>
          <w:b/>
          <w:bCs/>
          <w:sz w:val="24"/>
          <w:szCs w:val="24"/>
          <w:lang w:val="cs-CZ"/>
        </w:rPr>
        <w:t>------------------------------------------V</w:t>
      </w:r>
      <w:r w:rsidR="00CD2CBA">
        <w:rPr>
          <w:b/>
          <w:bCs/>
          <w:sz w:val="24"/>
          <w:szCs w:val="24"/>
          <w:lang w:val="cs-CZ"/>
        </w:rPr>
        <w:t xml:space="preserve">eba Bazin Riche, </w:t>
      </w:r>
      <w:r>
        <w:rPr>
          <w:b/>
          <w:bCs/>
          <w:sz w:val="24"/>
          <w:szCs w:val="24"/>
          <w:lang w:val="cs-CZ"/>
        </w:rPr>
        <w:t>a.s.</w:t>
      </w:r>
      <w:r>
        <w:rPr>
          <w:b/>
          <w:bCs/>
          <w:sz w:val="24"/>
          <w:szCs w:val="24"/>
          <w:lang w:val="cs-CZ"/>
        </w:rPr>
        <w:tab/>
      </w:r>
    </w:p>
    <w:p w:rsidR="00B9786C" w:rsidRDefault="00B9786C" w:rsidP="00B9786C">
      <w:pPr>
        <w:tabs>
          <w:tab w:val="left" w:pos="567"/>
          <w:tab w:val="left" w:pos="992"/>
          <w:tab w:val="right" w:leader="hyphen" w:pos="9072"/>
        </w:tabs>
        <w:jc w:val="right"/>
        <w:rPr>
          <w:b/>
          <w:sz w:val="24"/>
          <w:szCs w:val="24"/>
          <w:lang w:val="cs-CZ"/>
        </w:rPr>
      </w:pPr>
    </w:p>
    <w:p w:rsidR="00B9786C" w:rsidRDefault="00B9786C" w:rsidP="00B9786C">
      <w:pPr>
        <w:tabs>
          <w:tab w:val="left" w:pos="567"/>
          <w:tab w:val="left" w:pos="992"/>
          <w:tab w:val="right" w:leader="hyphen" w:pos="9072"/>
        </w:tabs>
        <w:jc w:val="center"/>
        <w:rPr>
          <w:b/>
          <w:sz w:val="24"/>
          <w:szCs w:val="24"/>
          <w:lang w:val="cs-CZ"/>
        </w:rPr>
      </w:pPr>
      <w:r>
        <w:rPr>
          <w:b/>
          <w:sz w:val="24"/>
          <w:szCs w:val="24"/>
          <w:lang w:val="cs-CZ"/>
        </w:rPr>
        <w:t>Čl. l</w:t>
      </w:r>
    </w:p>
    <w:p w:rsidR="00B9786C" w:rsidRDefault="00B9786C" w:rsidP="00B9786C">
      <w:pPr>
        <w:tabs>
          <w:tab w:val="left" w:pos="567"/>
          <w:tab w:val="left" w:pos="992"/>
          <w:tab w:val="right" w:leader="hyphen" w:pos="9072"/>
        </w:tabs>
        <w:spacing w:after="120"/>
        <w:jc w:val="center"/>
        <w:rPr>
          <w:b/>
          <w:sz w:val="24"/>
          <w:szCs w:val="24"/>
          <w:lang w:val="cs-CZ"/>
        </w:rPr>
      </w:pPr>
      <w:r>
        <w:rPr>
          <w:b/>
          <w:sz w:val="24"/>
          <w:szCs w:val="24"/>
          <w:lang w:val="cs-CZ"/>
        </w:rPr>
        <w:t>OBCHODNÍ FIRMA</w:t>
      </w:r>
    </w:p>
    <w:p w:rsidR="00B9786C" w:rsidRDefault="00B9786C" w:rsidP="00B9786C">
      <w:pPr>
        <w:tabs>
          <w:tab w:val="left" w:pos="567"/>
          <w:tab w:val="left" w:pos="992"/>
          <w:tab w:val="right" w:leader="hyphen" w:pos="9072"/>
        </w:tabs>
        <w:rPr>
          <w:b/>
          <w:bCs/>
          <w:sz w:val="24"/>
          <w:szCs w:val="24"/>
          <w:lang w:val="cs-CZ"/>
        </w:rPr>
      </w:pPr>
      <w:r>
        <w:rPr>
          <w:bCs/>
          <w:sz w:val="24"/>
          <w:szCs w:val="24"/>
          <w:lang w:val="cs-CZ"/>
        </w:rPr>
        <w:t>Obchodní firma společnosti zní:</w:t>
      </w:r>
      <w:r>
        <w:rPr>
          <w:b/>
          <w:bCs/>
          <w:sz w:val="24"/>
          <w:szCs w:val="24"/>
          <w:lang w:val="cs-CZ"/>
        </w:rPr>
        <w:t xml:space="preserve"> </w:t>
      </w:r>
      <w:r w:rsidR="00CD2CBA">
        <w:rPr>
          <w:b/>
          <w:bCs/>
          <w:sz w:val="24"/>
          <w:szCs w:val="24"/>
          <w:lang w:val="cs-CZ"/>
        </w:rPr>
        <w:t>Veba Bazin Riche, a.s.</w:t>
      </w:r>
      <w:r>
        <w:rPr>
          <w:b/>
          <w:bCs/>
          <w:sz w:val="24"/>
          <w:szCs w:val="24"/>
          <w:lang w:val="cs-CZ"/>
        </w:rPr>
        <w:tab/>
      </w:r>
    </w:p>
    <w:p w:rsidR="00B9786C" w:rsidRDefault="00B9786C" w:rsidP="00B9786C">
      <w:pPr>
        <w:tabs>
          <w:tab w:val="left" w:pos="567"/>
          <w:tab w:val="left" w:pos="992"/>
          <w:tab w:val="right" w:leader="hyphen" w:pos="9072"/>
        </w:tabs>
        <w:rPr>
          <w:sz w:val="24"/>
          <w:szCs w:val="24"/>
          <w:lang w:val="cs-CZ"/>
        </w:rPr>
      </w:pPr>
    </w:p>
    <w:p w:rsidR="00B9786C" w:rsidRDefault="00B9786C" w:rsidP="00B9786C">
      <w:pPr>
        <w:keepNext/>
        <w:tabs>
          <w:tab w:val="left" w:pos="567"/>
          <w:tab w:val="left" w:pos="992"/>
          <w:tab w:val="right" w:leader="hyphen" w:pos="9072"/>
        </w:tabs>
        <w:jc w:val="center"/>
        <w:rPr>
          <w:b/>
          <w:sz w:val="24"/>
          <w:szCs w:val="24"/>
          <w:lang w:val="cs-CZ"/>
        </w:rPr>
      </w:pPr>
      <w:r>
        <w:rPr>
          <w:b/>
          <w:sz w:val="24"/>
          <w:szCs w:val="24"/>
          <w:lang w:val="cs-CZ"/>
        </w:rPr>
        <w:t>Čl. 2</w:t>
      </w:r>
    </w:p>
    <w:p w:rsidR="00B9786C" w:rsidRDefault="00B9786C" w:rsidP="00B9786C">
      <w:pPr>
        <w:keepNext/>
        <w:tabs>
          <w:tab w:val="left" w:pos="567"/>
          <w:tab w:val="left" w:pos="992"/>
          <w:tab w:val="right" w:leader="hyphen" w:pos="9072"/>
        </w:tabs>
        <w:spacing w:after="120"/>
        <w:jc w:val="center"/>
        <w:rPr>
          <w:b/>
          <w:sz w:val="24"/>
          <w:szCs w:val="24"/>
          <w:lang w:val="cs-CZ"/>
        </w:rPr>
      </w:pPr>
      <w:r>
        <w:rPr>
          <w:b/>
          <w:sz w:val="24"/>
          <w:szCs w:val="24"/>
          <w:lang w:val="cs-CZ"/>
        </w:rPr>
        <w:t>SÍDLO SPOLEČNOSTI</w:t>
      </w:r>
    </w:p>
    <w:p w:rsidR="00B9786C" w:rsidRDefault="00B9786C" w:rsidP="00B9786C">
      <w:pPr>
        <w:tabs>
          <w:tab w:val="left" w:pos="567"/>
          <w:tab w:val="left" w:pos="992"/>
          <w:tab w:val="right" w:leader="hyphen" w:pos="9072"/>
        </w:tabs>
        <w:rPr>
          <w:sz w:val="24"/>
          <w:szCs w:val="24"/>
          <w:lang w:val="cs-CZ"/>
        </w:rPr>
      </w:pPr>
      <w:r>
        <w:rPr>
          <w:bCs/>
          <w:sz w:val="24"/>
          <w:szCs w:val="24"/>
          <w:lang w:val="cs-CZ"/>
        </w:rPr>
        <w:t xml:space="preserve">Sídlem společnosti je: </w:t>
      </w:r>
      <w:r w:rsidR="009C498F" w:rsidRPr="009C498F">
        <w:rPr>
          <w:b/>
          <w:bCs/>
          <w:sz w:val="24"/>
          <w:szCs w:val="24"/>
          <w:lang w:val="cs-CZ"/>
        </w:rPr>
        <w:t xml:space="preserve">hlavní město </w:t>
      </w:r>
      <w:r w:rsidR="00CD2CBA" w:rsidRPr="00CD2CBA">
        <w:rPr>
          <w:b/>
          <w:bCs/>
          <w:sz w:val="24"/>
          <w:szCs w:val="24"/>
          <w:lang w:val="cs-CZ"/>
        </w:rPr>
        <w:t>Praha</w:t>
      </w:r>
      <w:r>
        <w:rPr>
          <w:bCs/>
          <w:sz w:val="24"/>
          <w:szCs w:val="24"/>
          <w:lang w:val="cs-CZ"/>
        </w:rPr>
        <w:tab/>
      </w:r>
    </w:p>
    <w:p w:rsidR="00B9786C" w:rsidRDefault="00B9786C" w:rsidP="00B9786C">
      <w:pPr>
        <w:tabs>
          <w:tab w:val="left" w:pos="567"/>
          <w:tab w:val="left" w:pos="992"/>
          <w:tab w:val="right" w:leader="hyphen" w:pos="9072"/>
        </w:tabs>
        <w:rPr>
          <w:sz w:val="24"/>
          <w:szCs w:val="24"/>
          <w:lang w:val="cs-CZ"/>
        </w:rPr>
      </w:pPr>
    </w:p>
    <w:p w:rsidR="00B9786C" w:rsidRDefault="00B9786C" w:rsidP="00B9786C">
      <w:pPr>
        <w:tabs>
          <w:tab w:val="left" w:pos="567"/>
          <w:tab w:val="left" w:pos="992"/>
          <w:tab w:val="right" w:leader="hyphen" w:pos="9072"/>
        </w:tabs>
        <w:jc w:val="center"/>
        <w:rPr>
          <w:b/>
          <w:sz w:val="24"/>
          <w:szCs w:val="24"/>
          <w:lang w:val="cs-CZ"/>
        </w:rPr>
      </w:pPr>
      <w:r>
        <w:rPr>
          <w:b/>
          <w:sz w:val="24"/>
          <w:szCs w:val="24"/>
          <w:lang w:val="cs-CZ"/>
        </w:rPr>
        <w:t>Čl. 3</w:t>
      </w:r>
    </w:p>
    <w:p w:rsidR="00B9786C" w:rsidRDefault="00B9786C" w:rsidP="00B9786C">
      <w:pPr>
        <w:tabs>
          <w:tab w:val="left" w:pos="567"/>
          <w:tab w:val="left" w:pos="992"/>
          <w:tab w:val="right" w:leader="hyphen" w:pos="9072"/>
        </w:tabs>
        <w:spacing w:after="120"/>
        <w:jc w:val="center"/>
        <w:rPr>
          <w:b/>
          <w:sz w:val="24"/>
          <w:szCs w:val="24"/>
          <w:lang w:val="cs-CZ"/>
        </w:rPr>
      </w:pPr>
      <w:r>
        <w:rPr>
          <w:b/>
          <w:sz w:val="24"/>
          <w:szCs w:val="24"/>
          <w:lang w:val="cs-CZ"/>
        </w:rPr>
        <w:t>PŘEDMĚT PODNIKÁNÍ (ČINNOSTI)</w:t>
      </w:r>
    </w:p>
    <w:p w:rsidR="00B9786C" w:rsidRDefault="00B9786C" w:rsidP="00B9786C">
      <w:pPr>
        <w:tabs>
          <w:tab w:val="left" w:pos="567"/>
          <w:tab w:val="left" w:pos="992"/>
          <w:tab w:val="right" w:leader="hyphen" w:pos="9072"/>
        </w:tabs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Předmětem podnikání (činnosti) společnosti je:</w:t>
      </w:r>
    </w:p>
    <w:p w:rsidR="009C498F" w:rsidRDefault="009C498F" w:rsidP="009C498F">
      <w:pPr>
        <w:widowControl w:val="0"/>
        <w:tabs>
          <w:tab w:val="left" w:pos="992"/>
          <w:tab w:val="right" w:leader="hyphen" w:pos="9072"/>
        </w:tabs>
        <w:autoSpaceDE w:val="0"/>
        <w:autoSpaceDN w:val="0"/>
        <w:adjustRightInd w:val="0"/>
        <w:ind w:left="714"/>
        <w:jc w:val="both"/>
        <w:rPr>
          <w:sz w:val="24"/>
          <w:szCs w:val="24"/>
          <w:lang w:val="cs-CZ"/>
        </w:rPr>
      </w:pPr>
    </w:p>
    <w:p w:rsidR="00B9786C" w:rsidRDefault="00B9786C" w:rsidP="00B9786C">
      <w:pPr>
        <w:widowControl w:val="0"/>
        <w:numPr>
          <w:ilvl w:val="0"/>
          <w:numId w:val="1"/>
        </w:numPr>
        <w:tabs>
          <w:tab w:val="clear" w:pos="720"/>
          <w:tab w:val="left" w:pos="992"/>
          <w:tab w:val="right" w:leader="hyphen" w:pos="9072"/>
        </w:tabs>
        <w:autoSpaceDE w:val="0"/>
        <w:autoSpaceDN w:val="0"/>
        <w:adjustRightInd w:val="0"/>
        <w:ind w:left="714" w:hanging="357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Výroba, obchod a služby neuvedené v přílohách 1 až 3 živnostenského zákona;</w:t>
      </w:r>
      <w:r>
        <w:rPr>
          <w:sz w:val="24"/>
          <w:szCs w:val="24"/>
          <w:lang w:val="cs-CZ"/>
        </w:rPr>
        <w:tab/>
      </w:r>
    </w:p>
    <w:p w:rsidR="00CD2CBA" w:rsidRPr="00F93723" w:rsidRDefault="00CD2CBA" w:rsidP="00B9786C">
      <w:pPr>
        <w:tabs>
          <w:tab w:val="left" w:pos="567"/>
          <w:tab w:val="left" w:pos="992"/>
          <w:tab w:val="right" w:leader="hyphen" w:pos="9072"/>
        </w:tabs>
        <w:jc w:val="center"/>
        <w:rPr>
          <w:b/>
          <w:sz w:val="24"/>
          <w:szCs w:val="24"/>
          <w:lang w:val="cs-CZ"/>
        </w:rPr>
      </w:pPr>
    </w:p>
    <w:p w:rsidR="00B9786C" w:rsidRPr="00EC68BF" w:rsidRDefault="00B9786C" w:rsidP="00B9786C">
      <w:pPr>
        <w:tabs>
          <w:tab w:val="left" w:pos="567"/>
          <w:tab w:val="left" w:pos="992"/>
          <w:tab w:val="right" w:leader="hyphen" w:pos="9072"/>
        </w:tabs>
        <w:jc w:val="center"/>
        <w:rPr>
          <w:b/>
          <w:sz w:val="24"/>
          <w:szCs w:val="24"/>
          <w:lang w:val="cs-CZ"/>
        </w:rPr>
      </w:pPr>
      <w:r w:rsidRPr="00EC68BF">
        <w:rPr>
          <w:b/>
          <w:sz w:val="24"/>
          <w:szCs w:val="24"/>
          <w:lang w:val="cs-CZ"/>
        </w:rPr>
        <w:t>Čl. 4</w:t>
      </w:r>
    </w:p>
    <w:p w:rsidR="00B9786C" w:rsidRPr="00EC68BF" w:rsidRDefault="00B9786C" w:rsidP="00B9786C">
      <w:pPr>
        <w:tabs>
          <w:tab w:val="left" w:pos="567"/>
          <w:tab w:val="left" w:pos="992"/>
          <w:tab w:val="right" w:leader="hyphen" w:pos="9072"/>
        </w:tabs>
        <w:spacing w:after="120"/>
        <w:jc w:val="center"/>
        <w:rPr>
          <w:b/>
          <w:sz w:val="24"/>
          <w:szCs w:val="24"/>
          <w:lang w:val="cs-CZ"/>
        </w:rPr>
      </w:pPr>
      <w:r w:rsidRPr="00EC68BF">
        <w:rPr>
          <w:b/>
          <w:sz w:val="24"/>
          <w:szCs w:val="24"/>
          <w:lang w:val="cs-CZ"/>
        </w:rPr>
        <w:t>INTERNETOVÁ STRÁNKA</w:t>
      </w:r>
    </w:p>
    <w:p w:rsidR="00B9786C" w:rsidRPr="00EC68BF" w:rsidRDefault="00B9786C" w:rsidP="00B9786C">
      <w:pPr>
        <w:tabs>
          <w:tab w:val="left" w:pos="567"/>
          <w:tab w:val="left" w:pos="992"/>
          <w:tab w:val="right" w:leader="hyphen" w:pos="9072"/>
        </w:tabs>
        <w:jc w:val="both"/>
        <w:rPr>
          <w:sz w:val="24"/>
          <w:szCs w:val="24"/>
          <w:lang w:val="cs-CZ"/>
        </w:rPr>
      </w:pPr>
      <w:r w:rsidRPr="00EC68BF">
        <w:rPr>
          <w:sz w:val="24"/>
          <w:szCs w:val="24"/>
          <w:lang w:val="cs-CZ"/>
        </w:rPr>
        <w:t xml:space="preserve">Na adrese </w:t>
      </w:r>
      <w:r w:rsidR="0053502A" w:rsidRPr="0053502A">
        <w:rPr>
          <w:rStyle w:val="Hypertextovodkaz"/>
          <w:sz w:val="24"/>
          <w:szCs w:val="24"/>
          <w:lang w:val="cs-CZ"/>
        </w:rPr>
        <w:t>www.kavalier.cz/partneri.html</w:t>
      </w:r>
      <w:r w:rsidR="000C0EBC">
        <w:rPr>
          <w:sz w:val="24"/>
          <w:szCs w:val="24"/>
          <w:lang w:val="cs-CZ"/>
        </w:rPr>
        <w:t xml:space="preserve"> </w:t>
      </w:r>
      <w:r w:rsidRPr="00EC68BF">
        <w:rPr>
          <w:sz w:val="24"/>
          <w:szCs w:val="24"/>
          <w:lang w:val="cs-CZ"/>
        </w:rPr>
        <w:t>jsou umístěny internetové stránky společnosti, kde je uveřejňována pozvánka na valnou hromadu a uváděny další údaje pro akcionáře.</w:t>
      </w:r>
      <w:r w:rsidRPr="00EC68BF">
        <w:rPr>
          <w:sz w:val="24"/>
          <w:szCs w:val="24"/>
          <w:lang w:val="cs-CZ"/>
        </w:rPr>
        <w:tab/>
      </w:r>
    </w:p>
    <w:p w:rsidR="00B9786C" w:rsidRPr="00EC68BF" w:rsidRDefault="00B9786C" w:rsidP="00B9786C">
      <w:pPr>
        <w:tabs>
          <w:tab w:val="left" w:pos="567"/>
          <w:tab w:val="left" w:pos="992"/>
          <w:tab w:val="right" w:leader="hyphen" w:pos="9072"/>
        </w:tabs>
        <w:rPr>
          <w:sz w:val="24"/>
          <w:szCs w:val="24"/>
          <w:lang w:val="cs-CZ"/>
        </w:rPr>
      </w:pPr>
    </w:p>
    <w:p w:rsidR="00B9786C" w:rsidRDefault="00B9786C" w:rsidP="00B9786C">
      <w:pPr>
        <w:tabs>
          <w:tab w:val="left" w:pos="567"/>
          <w:tab w:val="left" w:pos="992"/>
          <w:tab w:val="right" w:leader="hyphen" w:pos="9072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Čl. 5</w:t>
      </w:r>
    </w:p>
    <w:p w:rsidR="00B9786C" w:rsidRDefault="00B9786C" w:rsidP="00B9786C">
      <w:pPr>
        <w:tabs>
          <w:tab w:val="left" w:pos="567"/>
          <w:tab w:val="left" w:pos="992"/>
          <w:tab w:val="right" w:leader="hyphen" w:pos="9072"/>
        </w:tabs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ZÁKLADNÍ KA</w:t>
      </w:r>
      <w:smartTag w:uri="urn:schemas-microsoft-com:office:smarttags" w:element="PersonName">
        <w:r>
          <w:rPr>
            <w:b/>
            <w:sz w:val="24"/>
            <w:szCs w:val="24"/>
          </w:rPr>
          <w:t>P</w:t>
        </w:r>
      </w:smartTag>
      <w:r>
        <w:rPr>
          <w:b/>
          <w:sz w:val="24"/>
          <w:szCs w:val="24"/>
        </w:rPr>
        <w:t>ITÁL S</w:t>
      </w:r>
      <w:smartTag w:uri="urn:schemas-microsoft-com:office:smarttags" w:element="PersonName">
        <w:r>
          <w:rPr>
            <w:b/>
            <w:sz w:val="24"/>
            <w:szCs w:val="24"/>
          </w:rPr>
          <w:t>P</w:t>
        </w:r>
      </w:smartTag>
      <w:r>
        <w:rPr>
          <w:b/>
          <w:sz w:val="24"/>
          <w:szCs w:val="24"/>
        </w:rPr>
        <w:t xml:space="preserve">OLEČNOSTI </w:t>
      </w:r>
      <w:proofErr w:type="gramStart"/>
      <w:r>
        <w:rPr>
          <w:b/>
          <w:sz w:val="24"/>
          <w:szCs w:val="24"/>
        </w:rPr>
        <w:t>A</w:t>
      </w:r>
      <w:proofErr w:type="gramEnd"/>
      <w:r>
        <w:rPr>
          <w:b/>
          <w:sz w:val="24"/>
          <w:szCs w:val="24"/>
        </w:rPr>
        <w:t xml:space="preserve"> AKCIE</w:t>
      </w:r>
    </w:p>
    <w:p w:rsidR="00B9786C" w:rsidRDefault="00B9786C" w:rsidP="00B9786C">
      <w:pPr>
        <w:numPr>
          <w:ilvl w:val="0"/>
          <w:numId w:val="2"/>
        </w:numPr>
        <w:tabs>
          <w:tab w:val="right" w:leader="hyphen" w:pos="9072"/>
        </w:tabs>
        <w:spacing w:after="120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Základní kapitál společnosti činí 3</w:t>
      </w:r>
      <w:r w:rsidR="00CD2CBA">
        <w:rPr>
          <w:sz w:val="24"/>
          <w:szCs w:val="24"/>
        </w:rPr>
        <w:t>5</w:t>
      </w:r>
      <w:r>
        <w:rPr>
          <w:sz w:val="24"/>
          <w:szCs w:val="24"/>
        </w:rPr>
        <w:t>.</w:t>
      </w:r>
      <w:r w:rsidR="00CD2CBA">
        <w:rPr>
          <w:sz w:val="24"/>
          <w:szCs w:val="24"/>
        </w:rPr>
        <w:t>636</w:t>
      </w:r>
      <w:r>
        <w:rPr>
          <w:sz w:val="24"/>
          <w:szCs w:val="24"/>
        </w:rPr>
        <w:t>.000</w:t>
      </w:r>
      <w:proofErr w:type="gramStart"/>
      <w:r>
        <w:rPr>
          <w:sz w:val="24"/>
          <w:szCs w:val="24"/>
        </w:rPr>
        <w:t>,-</w:t>
      </w:r>
      <w:proofErr w:type="gramEnd"/>
      <w:r>
        <w:rPr>
          <w:sz w:val="24"/>
          <w:szCs w:val="24"/>
        </w:rPr>
        <w:t xml:space="preserve"> Kč (třicet</w:t>
      </w:r>
      <w:r w:rsidR="00CD2CBA">
        <w:rPr>
          <w:sz w:val="24"/>
          <w:szCs w:val="24"/>
        </w:rPr>
        <w:t xml:space="preserve"> pět m</w:t>
      </w:r>
      <w:r>
        <w:rPr>
          <w:sz w:val="24"/>
          <w:szCs w:val="24"/>
        </w:rPr>
        <w:t xml:space="preserve">ilionů </w:t>
      </w:r>
      <w:r w:rsidR="00CD2CBA">
        <w:rPr>
          <w:sz w:val="24"/>
          <w:szCs w:val="24"/>
        </w:rPr>
        <w:t xml:space="preserve">šest set třicet šest tisíc </w:t>
      </w:r>
      <w:r>
        <w:rPr>
          <w:sz w:val="24"/>
          <w:szCs w:val="24"/>
        </w:rPr>
        <w:t xml:space="preserve">korun českých) a je rozdělen na </w:t>
      </w:r>
      <w:r w:rsidR="00CD2CBA">
        <w:rPr>
          <w:sz w:val="24"/>
          <w:szCs w:val="24"/>
        </w:rPr>
        <w:t>35 636</w:t>
      </w:r>
      <w:r>
        <w:rPr>
          <w:sz w:val="24"/>
          <w:szCs w:val="24"/>
        </w:rPr>
        <w:t xml:space="preserve"> ks (třicet</w:t>
      </w:r>
      <w:r w:rsidR="00CD2CBA">
        <w:rPr>
          <w:sz w:val="24"/>
          <w:szCs w:val="24"/>
        </w:rPr>
        <w:t xml:space="preserve"> pět tisíc šest set třicet šest </w:t>
      </w:r>
      <w:r>
        <w:rPr>
          <w:sz w:val="24"/>
          <w:szCs w:val="24"/>
        </w:rPr>
        <w:t>kusů) akcií, každá o jmenovité hodnotě 1</w:t>
      </w:r>
      <w:r w:rsidR="00CD2CBA">
        <w:rPr>
          <w:sz w:val="24"/>
          <w:szCs w:val="24"/>
        </w:rPr>
        <w:t>.000</w:t>
      </w:r>
      <w:r>
        <w:rPr>
          <w:sz w:val="24"/>
          <w:szCs w:val="24"/>
        </w:rPr>
        <w:t>,- Kč (jed</w:t>
      </w:r>
      <w:r w:rsidR="00CD2CBA">
        <w:rPr>
          <w:sz w:val="24"/>
          <w:szCs w:val="24"/>
        </w:rPr>
        <w:t xml:space="preserve">en tisíc </w:t>
      </w:r>
      <w:r>
        <w:rPr>
          <w:sz w:val="24"/>
          <w:szCs w:val="24"/>
        </w:rPr>
        <w:t>korun česk</w:t>
      </w:r>
      <w:r w:rsidR="00CD2CBA">
        <w:rPr>
          <w:sz w:val="24"/>
          <w:szCs w:val="24"/>
        </w:rPr>
        <w:t>ých</w:t>
      </w:r>
      <w:r>
        <w:rPr>
          <w:sz w:val="24"/>
          <w:szCs w:val="24"/>
        </w:rPr>
        <w:t>).</w:t>
      </w:r>
      <w:r>
        <w:rPr>
          <w:sz w:val="24"/>
          <w:szCs w:val="24"/>
        </w:rPr>
        <w:tab/>
      </w:r>
    </w:p>
    <w:p w:rsidR="00B9786C" w:rsidRDefault="00B9786C" w:rsidP="00B9786C">
      <w:pPr>
        <w:numPr>
          <w:ilvl w:val="0"/>
          <w:numId w:val="2"/>
        </w:numPr>
        <w:tabs>
          <w:tab w:val="right" w:leader="hyphen" w:pos="9072"/>
        </w:tabs>
        <w:spacing w:after="120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Akcie společnosti jsou cennými papíry </w:t>
      </w:r>
      <w:proofErr w:type="gramStart"/>
      <w:r>
        <w:rPr>
          <w:sz w:val="24"/>
          <w:szCs w:val="24"/>
        </w:rPr>
        <w:t>na</w:t>
      </w:r>
      <w:proofErr w:type="gramEnd"/>
      <w:r>
        <w:rPr>
          <w:sz w:val="24"/>
          <w:szCs w:val="24"/>
        </w:rPr>
        <w:t xml:space="preserve"> jméno v listinné podobě.</w:t>
      </w:r>
      <w:r>
        <w:rPr>
          <w:sz w:val="24"/>
          <w:szCs w:val="24"/>
        </w:rPr>
        <w:tab/>
      </w:r>
    </w:p>
    <w:p w:rsidR="00B9786C" w:rsidRDefault="00B9786C" w:rsidP="00B9786C">
      <w:pPr>
        <w:numPr>
          <w:ilvl w:val="0"/>
          <w:numId w:val="2"/>
        </w:numPr>
        <w:tabs>
          <w:tab w:val="right" w:leader="hyphen" w:pos="9072"/>
        </w:tabs>
        <w:spacing w:after="120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Akcie jsou převoditelné pouze se souhlasem správní rady, přičemž </w:t>
      </w:r>
      <w:r w:rsidRPr="008C38BC">
        <w:rPr>
          <w:sz w:val="24"/>
          <w:szCs w:val="24"/>
        </w:rPr>
        <w:t>o rozhodnutí správní rady o udělení souhlasu s převodem musí být sepsán notářský zápis.</w:t>
      </w:r>
      <w:r>
        <w:rPr>
          <w:sz w:val="24"/>
        </w:rPr>
        <w:tab/>
      </w:r>
    </w:p>
    <w:p w:rsidR="00B9786C" w:rsidRDefault="00B9786C" w:rsidP="00B9786C">
      <w:pPr>
        <w:numPr>
          <w:ilvl w:val="0"/>
          <w:numId w:val="2"/>
        </w:numPr>
        <w:tabs>
          <w:tab w:val="right" w:leader="hyphen" w:pos="9072"/>
        </w:tabs>
        <w:spacing w:after="120"/>
        <w:ind w:left="567" w:hanging="567"/>
        <w:rPr>
          <w:sz w:val="24"/>
          <w:szCs w:val="24"/>
        </w:rPr>
      </w:pPr>
      <w:r>
        <w:rPr>
          <w:sz w:val="24"/>
          <w:szCs w:val="24"/>
        </w:rPr>
        <w:t>Společnost vede seznam akcionářů.</w:t>
      </w:r>
      <w:r>
        <w:rPr>
          <w:sz w:val="24"/>
          <w:szCs w:val="24"/>
        </w:rPr>
        <w:tab/>
      </w:r>
    </w:p>
    <w:p w:rsidR="00B9786C" w:rsidRDefault="00B9786C" w:rsidP="00B9786C">
      <w:pPr>
        <w:numPr>
          <w:ilvl w:val="0"/>
          <w:numId w:val="2"/>
        </w:numPr>
        <w:tabs>
          <w:tab w:val="right" w:leader="hyphen" w:pos="9072"/>
        </w:tabs>
        <w:spacing w:after="120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S jednou akcií o jmenovité hodnotě 1</w:t>
      </w:r>
      <w:r w:rsidR="00F93723">
        <w:rPr>
          <w:sz w:val="24"/>
          <w:szCs w:val="24"/>
        </w:rPr>
        <w:t>000</w:t>
      </w:r>
      <w:proofErr w:type="gramStart"/>
      <w:r>
        <w:rPr>
          <w:sz w:val="24"/>
          <w:szCs w:val="24"/>
        </w:rPr>
        <w:t>,-</w:t>
      </w:r>
      <w:proofErr w:type="gramEnd"/>
      <w:r>
        <w:rPr>
          <w:sz w:val="24"/>
          <w:szCs w:val="24"/>
        </w:rPr>
        <w:t xml:space="preserve"> Kč (jed</w:t>
      </w:r>
      <w:r w:rsidR="00F93723">
        <w:rPr>
          <w:sz w:val="24"/>
          <w:szCs w:val="24"/>
        </w:rPr>
        <w:t xml:space="preserve">en tisíc </w:t>
      </w:r>
      <w:r>
        <w:rPr>
          <w:sz w:val="24"/>
          <w:szCs w:val="24"/>
        </w:rPr>
        <w:t>korun česk</w:t>
      </w:r>
      <w:r w:rsidR="00F93723">
        <w:rPr>
          <w:sz w:val="24"/>
          <w:szCs w:val="24"/>
        </w:rPr>
        <w:t>ých</w:t>
      </w:r>
      <w:r>
        <w:rPr>
          <w:sz w:val="24"/>
          <w:szCs w:val="24"/>
        </w:rPr>
        <w:t xml:space="preserve"> je spojen 1 (jeden) hlas. Celkový počet hlasů ve společnosti je 3</w:t>
      </w:r>
      <w:r w:rsidR="00F93723">
        <w:rPr>
          <w:sz w:val="24"/>
          <w:szCs w:val="24"/>
        </w:rPr>
        <w:t>5.636</w:t>
      </w:r>
      <w:r>
        <w:rPr>
          <w:sz w:val="24"/>
          <w:szCs w:val="24"/>
        </w:rPr>
        <w:t xml:space="preserve"> (třicet</w:t>
      </w:r>
      <w:r w:rsidR="00F93723">
        <w:rPr>
          <w:sz w:val="24"/>
          <w:szCs w:val="24"/>
        </w:rPr>
        <w:t xml:space="preserve"> pět tisíc šest set třicet šest</w:t>
      </w:r>
      <w:r>
        <w:rPr>
          <w:sz w:val="24"/>
          <w:szCs w:val="24"/>
        </w:rPr>
        <w:t xml:space="preserve">). </w:t>
      </w:r>
      <w:r>
        <w:rPr>
          <w:sz w:val="24"/>
          <w:szCs w:val="24"/>
        </w:rPr>
        <w:tab/>
      </w:r>
    </w:p>
    <w:p w:rsidR="00B9786C" w:rsidRDefault="00B9786C" w:rsidP="00B9786C">
      <w:pPr>
        <w:numPr>
          <w:ilvl w:val="0"/>
          <w:numId w:val="2"/>
        </w:numPr>
        <w:tabs>
          <w:tab w:val="right" w:leader="hyphen" w:pos="9072"/>
        </w:tabs>
        <w:spacing w:after="120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Namísto jednotlivých akcií společnosti může být každému akcionáři vydána hromadná akcie. </w:t>
      </w:r>
      <w:r>
        <w:rPr>
          <w:color w:val="000000"/>
          <w:sz w:val="24"/>
        </w:rPr>
        <w:t xml:space="preserve">Každý akcionář má právo </w:t>
      </w:r>
      <w:proofErr w:type="gramStart"/>
      <w:r>
        <w:rPr>
          <w:color w:val="000000"/>
          <w:sz w:val="24"/>
        </w:rPr>
        <w:t>na</w:t>
      </w:r>
      <w:proofErr w:type="gramEnd"/>
      <w:r>
        <w:rPr>
          <w:color w:val="000000"/>
          <w:sz w:val="24"/>
        </w:rPr>
        <w:t xml:space="preserve"> výměnu hromadné akcie za jednotlivé akcie a naopak, a to na základě písemné žádosti adresované společnosti. Výměnu provede správní rada společnosti bezplatně do 30 (třiceti) dnů po obdržení písemné žádosti akcionáře, a to zpravidla v sídle společnosti. Správní rada společnosti je povinna vrácené cenné papíry neprodleně skartovat a vystavit o tom pro účely společnosti skartační protokol.</w:t>
      </w:r>
      <w:r>
        <w:rPr>
          <w:sz w:val="24"/>
          <w:szCs w:val="24"/>
        </w:rPr>
        <w:tab/>
      </w:r>
    </w:p>
    <w:p w:rsidR="00B9786C" w:rsidRDefault="00B9786C" w:rsidP="00B9786C">
      <w:pPr>
        <w:numPr>
          <w:ilvl w:val="0"/>
          <w:numId w:val="3"/>
        </w:numPr>
        <w:tabs>
          <w:tab w:val="right" w:leader="hyphen" w:pos="9072"/>
        </w:tabs>
        <w:spacing w:after="120"/>
        <w:ind w:left="567" w:hanging="567"/>
        <w:rPr>
          <w:sz w:val="24"/>
        </w:rPr>
      </w:pPr>
      <w:r>
        <w:rPr>
          <w:sz w:val="24"/>
        </w:rPr>
        <w:t>Práva a povinnosti spojená s nesplacenou akcií mohou být spojena se zatímním listem.</w:t>
      </w:r>
      <w:r>
        <w:rPr>
          <w:sz w:val="24"/>
        </w:rPr>
        <w:tab/>
      </w:r>
    </w:p>
    <w:p w:rsidR="00B9786C" w:rsidRDefault="00B9786C" w:rsidP="00B9786C">
      <w:pPr>
        <w:numPr>
          <w:ilvl w:val="0"/>
          <w:numId w:val="3"/>
        </w:numPr>
        <w:tabs>
          <w:tab w:val="right" w:leader="hyphen" w:pos="9072"/>
        </w:tabs>
        <w:spacing w:after="120"/>
        <w:ind w:left="567" w:hanging="567"/>
        <w:jc w:val="both"/>
        <w:rPr>
          <w:sz w:val="24"/>
          <w:szCs w:val="24"/>
        </w:rPr>
      </w:pPr>
      <w:r>
        <w:rPr>
          <w:sz w:val="24"/>
        </w:rPr>
        <w:t xml:space="preserve">Společnost může </w:t>
      </w:r>
      <w:proofErr w:type="gramStart"/>
      <w:r>
        <w:rPr>
          <w:sz w:val="24"/>
        </w:rPr>
        <w:t>na</w:t>
      </w:r>
      <w:proofErr w:type="gramEnd"/>
      <w:r>
        <w:rPr>
          <w:sz w:val="24"/>
        </w:rPr>
        <w:t xml:space="preserve"> základě rozhodnutí valné hromady vydávat vyměnitelné nebo prioritní dluhopisy.</w:t>
      </w:r>
      <w:r>
        <w:rPr>
          <w:sz w:val="24"/>
        </w:rPr>
        <w:tab/>
      </w:r>
    </w:p>
    <w:p w:rsidR="00B9786C" w:rsidRDefault="00B9786C" w:rsidP="00B9786C">
      <w:pPr>
        <w:tabs>
          <w:tab w:val="left" w:pos="567"/>
          <w:tab w:val="left" w:pos="992"/>
          <w:tab w:val="right" w:leader="hyphen" w:pos="9072"/>
        </w:tabs>
        <w:rPr>
          <w:sz w:val="24"/>
          <w:szCs w:val="24"/>
          <w:highlight w:val="yellow"/>
        </w:rPr>
      </w:pPr>
    </w:p>
    <w:p w:rsidR="00B9786C" w:rsidRDefault="00B9786C" w:rsidP="00B9786C">
      <w:pPr>
        <w:tabs>
          <w:tab w:val="left" w:pos="567"/>
          <w:tab w:val="left" w:pos="992"/>
          <w:tab w:val="right" w:leader="hyphen" w:pos="9072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Čl. 6</w:t>
      </w:r>
    </w:p>
    <w:p w:rsidR="00B9786C" w:rsidRDefault="00B9786C" w:rsidP="00B9786C">
      <w:pPr>
        <w:tabs>
          <w:tab w:val="left" w:pos="567"/>
          <w:tab w:val="left" w:pos="992"/>
          <w:tab w:val="right" w:leader="hyphen" w:pos="9072"/>
        </w:tabs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ORGÁNY S</w:t>
      </w:r>
      <w:smartTag w:uri="urn:schemas-microsoft-com:office:smarttags" w:element="PersonName">
        <w:r>
          <w:rPr>
            <w:b/>
            <w:sz w:val="24"/>
            <w:szCs w:val="24"/>
          </w:rPr>
          <w:t>P</w:t>
        </w:r>
      </w:smartTag>
      <w:r>
        <w:rPr>
          <w:b/>
          <w:sz w:val="24"/>
          <w:szCs w:val="24"/>
        </w:rPr>
        <w:t>OLEČNOSTI</w:t>
      </w:r>
    </w:p>
    <w:p w:rsidR="00B9786C" w:rsidRDefault="00B9786C" w:rsidP="00B9786C">
      <w:pPr>
        <w:numPr>
          <w:ilvl w:val="0"/>
          <w:numId w:val="4"/>
        </w:numPr>
        <w:tabs>
          <w:tab w:val="left" w:pos="567"/>
          <w:tab w:val="left" w:pos="992"/>
          <w:tab w:val="right" w:leader="hyphen" w:pos="9072"/>
        </w:tabs>
        <w:spacing w:after="120"/>
        <w:ind w:left="567" w:hanging="567"/>
        <w:rPr>
          <w:sz w:val="24"/>
          <w:szCs w:val="24"/>
        </w:rPr>
      </w:pPr>
      <w:r>
        <w:rPr>
          <w:sz w:val="24"/>
          <w:szCs w:val="24"/>
        </w:rPr>
        <w:t>Společnost zvolila monistický systém vnitřní struktury.</w:t>
      </w:r>
      <w:r>
        <w:rPr>
          <w:sz w:val="24"/>
          <w:szCs w:val="24"/>
        </w:rPr>
        <w:tab/>
      </w:r>
    </w:p>
    <w:p w:rsidR="00B9786C" w:rsidRDefault="00B9786C" w:rsidP="00B9786C">
      <w:pPr>
        <w:numPr>
          <w:ilvl w:val="0"/>
          <w:numId w:val="4"/>
        </w:numPr>
        <w:tabs>
          <w:tab w:val="left" w:pos="567"/>
          <w:tab w:val="left" w:pos="992"/>
          <w:tab w:val="right" w:leader="hyphen" w:pos="9072"/>
        </w:tabs>
        <w:ind w:left="567" w:hanging="567"/>
        <w:rPr>
          <w:sz w:val="24"/>
          <w:szCs w:val="24"/>
        </w:rPr>
      </w:pPr>
      <w:r>
        <w:rPr>
          <w:sz w:val="24"/>
          <w:szCs w:val="24"/>
        </w:rPr>
        <w:t>Orgány společnosti jsou:</w:t>
      </w:r>
      <w:r>
        <w:rPr>
          <w:sz w:val="24"/>
          <w:szCs w:val="24"/>
        </w:rPr>
        <w:tab/>
      </w:r>
    </w:p>
    <w:p w:rsidR="00B9786C" w:rsidRDefault="00B9786C" w:rsidP="00B9786C">
      <w:pPr>
        <w:tabs>
          <w:tab w:val="left" w:pos="567"/>
          <w:tab w:val="left" w:pos="992"/>
          <w:tab w:val="right" w:leader="hyphen" w:pos="9072"/>
        </w:tabs>
        <w:spacing w:before="120" w:after="120"/>
        <w:ind w:left="567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valná</w:t>
      </w:r>
      <w:proofErr w:type="gramEnd"/>
      <w:r>
        <w:rPr>
          <w:sz w:val="24"/>
          <w:szCs w:val="24"/>
        </w:rPr>
        <w:t xml:space="preserve"> hromada;</w:t>
      </w:r>
      <w:r>
        <w:rPr>
          <w:sz w:val="24"/>
          <w:szCs w:val="24"/>
        </w:rPr>
        <w:tab/>
      </w:r>
    </w:p>
    <w:p w:rsidR="00B9786C" w:rsidRDefault="00B9786C" w:rsidP="00B9786C">
      <w:pPr>
        <w:tabs>
          <w:tab w:val="left" w:pos="567"/>
          <w:tab w:val="left" w:pos="992"/>
          <w:tab w:val="right" w:leader="hyphen" w:pos="9072"/>
        </w:tabs>
        <w:spacing w:after="120"/>
        <w:ind w:left="567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správní</w:t>
      </w:r>
      <w:proofErr w:type="gramEnd"/>
      <w:r>
        <w:rPr>
          <w:sz w:val="24"/>
          <w:szCs w:val="24"/>
        </w:rPr>
        <w:t xml:space="preserve"> rada. </w:t>
      </w:r>
      <w:r>
        <w:rPr>
          <w:sz w:val="24"/>
          <w:szCs w:val="24"/>
        </w:rPr>
        <w:tab/>
      </w:r>
    </w:p>
    <w:p w:rsidR="00B9786C" w:rsidRDefault="00B9786C" w:rsidP="00B9786C">
      <w:pPr>
        <w:numPr>
          <w:ilvl w:val="0"/>
          <w:numId w:val="4"/>
        </w:numPr>
        <w:tabs>
          <w:tab w:val="left" w:pos="567"/>
          <w:tab w:val="left" w:pos="992"/>
          <w:tab w:val="right" w:leader="hyphen" w:pos="9072"/>
        </w:tabs>
        <w:spacing w:after="120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Má-li společnost jediného akcionáře, nekoná se valná hromada a působnost valné hromady vykonává tento akcionář. Rozhodnutí akcionáře při výkonu působnosti valné hromady musí mít písemnou formu a musí být doručeno společnosti. Rozhodnutí akcionáře musí mít formu notářského zápisu o právním jednání v těch případech, kdy se o rozhodnutí valné hromady pořizuje notářský zápis. Doručení společnosti se děje v písemné formě k rukám jakéhokoliv člena správní rady nebo </w:t>
      </w:r>
      <w:proofErr w:type="gramStart"/>
      <w:r>
        <w:rPr>
          <w:sz w:val="24"/>
          <w:szCs w:val="24"/>
        </w:rPr>
        <w:t>na</w:t>
      </w:r>
      <w:proofErr w:type="gramEnd"/>
      <w:r>
        <w:rPr>
          <w:sz w:val="24"/>
          <w:szCs w:val="24"/>
        </w:rPr>
        <w:t xml:space="preserve"> adresu sídla společnosti zapsanou v obchodním rejstříku.</w:t>
      </w:r>
      <w:r>
        <w:rPr>
          <w:sz w:val="24"/>
          <w:szCs w:val="24"/>
        </w:rPr>
        <w:tab/>
      </w:r>
    </w:p>
    <w:p w:rsidR="00B9786C" w:rsidRDefault="00B9786C" w:rsidP="00B9786C">
      <w:pPr>
        <w:tabs>
          <w:tab w:val="left" w:pos="567"/>
          <w:tab w:val="left" w:pos="992"/>
          <w:tab w:val="right" w:leader="hyphen" w:pos="9072"/>
        </w:tabs>
        <w:ind w:left="567"/>
        <w:contextualSpacing/>
        <w:jc w:val="both"/>
        <w:rPr>
          <w:sz w:val="24"/>
          <w:szCs w:val="24"/>
        </w:rPr>
      </w:pPr>
    </w:p>
    <w:p w:rsidR="00B9786C" w:rsidRDefault="00B9786C" w:rsidP="00B9786C">
      <w:pPr>
        <w:tabs>
          <w:tab w:val="left" w:pos="567"/>
          <w:tab w:val="left" w:pos="992"/>
          <w:tab w:val="right" w:leader="hyphen" w:pos="9072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Čl. 7</w:t>
      </w:r>
    </w:p>
    <w:p w:rsidR="00B9786C" w:rsidRDefault="00B9786C" w:rsidP="00B9786C">
      <w:pPr>
        <w:tabs>
          <w:tab w:val="left" w:pos="567"/>
          <w:tab w:val="left" w:pos="992"/>
          <w:tab w:val="right" w:leader="hyphen" w:pos="9072"/>
        </w:tabs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VALNÁ HROMADA</w:t>
      </w:r>
    </w:p>
    <w:p w:rsidR="00B9786C" w:rsidRDefault="00B9786C" w:rsidP="00B9786C">
      <w:pPr>
        <w:numPr>
          <w:ilvl w:val="0"/>
          <w:numId w:val="5"/>
        </w:numPr>
        <w:tabs>
          <w:tab w:val="left" w:pos="567"/>
          <w:tab w:val="left" w:pos="992"/>
          <w:tab w:val="right" w:leader="hyphen" w:pos="9072"/>
        </w:tabs>
        <w:spacing w:after="120"/>
        <w:ind w:left="567" w:right="-1" w:hanging="567"/>
        <w:jc w:val="both"/>
        <w:rPr>
          <w:color w:val="000000"/>
          <w:sz w:val="24"/>
          <w:lang w:val="de-DE"/>
        </w:rPr>
      </w:pPr>
      <w:r>
        <w:rPr>
          <w:sz w:val="24"/>
          <w:szCs w:val="24"/>
          <w:lang w:val="de-DE"/>
        </w:rPr>
        <w:t>Valná hromada je nejvyšším orgánem společnosti.</w:t>
      </w:r>
      <w:r>
        <w:rPr>
          <w:sz w:val="24"/>
          <w:szCs w:val="24"/>
          <w:lang w:val="de-DE"/>
        </w:rPr>
        <w:tab/>
        <w:t xml:space="preserve"> </w:t>
      </w:r>
    </w:p>
    <w:p w:rsidR="00B9786C" w:rsidRDefault="00B9786C" w:rsidP="00B9786C">
      <w:pPr>
        <w:numPr>
          <w:ilvl w:val="0"/>
          <w:numId w:val="5"/>
        </w:numPr>
        <w:tabs>
          <w:tab w:val="left" w:pos="567"/>
          <w:tab w:val="left" w:pos="992"/>
          <w:tab w:val="right" w:leader="hyphen" w:pos="9072"/>
        </w:tabs>
        <w:spacing w:after="120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Do působnosti valné hromady náleží:</w:t>
      </w:r>
      <w:r>
        <w:rPr>
          <w:sz w:val="24"/>
          <w:szCs w:val="24"/>
        </w:rPr>
        <w:tab/>
      </w:r>
    </w:p>
    <w:p w:rsidR="00B9786C" w:rsidRDefault="00B9786C" w:rsidP="00B9786C">
      <w:pPr>
        <w:numPr>
          <w:ilvl w:val="0"/>
          <w:numId w:val="6"/>
        </w:numPr>
        <w:tabs>
          <w:tab w:val="left" w:pos="567"/>
          <w:tab w:val="left" w:pos="992"/>
          <w:tab w:val="right" w:leader="hyphen" w:pos="9072"/>
        </w:tabs>
        <w:spacing w:after="120"/>
        <w:ind w:left="993" w:right="-1" w:hanging="426"/>
        <w:jc w:val="both"/>
        <w:rPr>
          <w:color w:val="000000"/>
          <w:sz w:val="24"/>
        </w:rPr>
      </w:pPr>
      <w:r>
        <w:rPr>
          <w:color w:val="000000"/>
          <w:sz w:val="24"/>
        </w:rPr>
        <w:t>rozhodování o změně stanov, nejde-li o změnu v důsledku zvýšení základního kapitálu pověřenou správní radou nebo o změnu, ke které došlo na základě jiných právních skutečností;</w:t>
      </w:r>
      <w:r>
        <w:rPr>
          <w:color w:val="000000"/>
          <w:sz w:val="24"/>
        </w:rPr>
        <w:tab/>
      </w:r>
    </w:p>
    <w:p w:rsidR="00B9786C" w:rsidRDefault="00B9786C" w:rsidP="00B9786C">
      <w:pPr>
        <w:numPr>
          <w:ilvl w:val="0"/>
          <w:numId w:val="6"/>
        </w:numPr>
        <w:tabs>
          <w:tab w:val="left" w:pos="567"/>
          <w:tab w:val="left" w:pos="992"/>
          <w:tab w:val="right" w:leader="hyphen" w:pos="9072"/>
        </w:tabs>
        <w:spacing w:after="120"/>
        <w:ind w:left="993" w:right="-1" w:hanging="426"/>
        <w:jc w:val="both"/>
        <w:rPr>
          <w:color w:val="000000"/>
          <w:sz w:val="24"/>
        </w:rPr>
      </w:pPr>
      <w:r>
        <w:rPr>
          <w:color w:val="000000"/>
          <w:sz w:val="24"/>
        </w:rPr>
        <w:t>rozhodování o změně výše základního kapitálu a o pověření správní rady ke zvýšení základního kapitálu;</w:t>
      </w:r>
      <w:r>
        <w:rPr>
          <w:color w:val="000000"/>
          <w:sz w:val="24"/>
        </w:rPr>
        <w:tab/>
      </w:r>
    </w:p>
    <w:p w:rsidR="00B9786C" w:rsidRDefault="00B9786C" w:rsidP="00B9786C">
      <w:pPr>
        <w:numPr>
          <w:ilvl w:val="0"/>
          <w:numId w:val="6"/>
        </w:numPr>
        <w:tabs>
          <w:tab w:val="left" w:pos="567"/>
          <w:tab w:val="left" w:pos="992"/>
          <w:tab w:val="right" w:leader="hyphen" w:pos="9072"/>
        </w:tabs>
        <w:spacing w:after="120"/>
        <w:ind w:left="993" w:right="-1" w:hanging="426"/>
        <w:jc w:val="both"/>
        <w:rPr>
          <w:color w:val="000000"/>
          <w:sz w:val="24"/>
        </w:rPr>
      </w:pPr>
      <w:r>
        <w:rPr>
          <w:color w:val="000000"/>
          <w:sz w:val="24"/>
        </w:rPr>
        <w:t>rozhodování o možnosti započtení peněžité pohledávky vůči společnosti proti pohledávce na splacení emisního kursu;</w:t>
      </w:r>
      <w:r>
        <w:rPr>
          <w:color w:val="000000"/>
          <w:sz w:val="24"/>
        </w:rPr>
        <w:tab/>
      </w:r>
    </w:p>
    <w:p w:rsidR="00B9786C" w:rsidRDefault="00B9786C" w:rsidP="00B9786C">
      <w:pPr>
        <w:numPr>
          <w:ilvl w:val="0"/>
          <w:numId w:val="6"/>
        </w:numPr>
        <w:tabs>
          <w:tab w:val="left" w:pos="567"/>
          <w:tab w:val="left" w:pos="709"/>
          <w:tab w:val="left" w:pos="992"/>
          <w:tab w:val="right" w:leader="hyphen" w:pos="9072"/>
        </w:tabs>
        <w:spacing w:after="120"/>
        <w:ind w:left="993" w:right="-1" w:hanging="426"/>
        <w:jc w:val="both"/>
        <w:rPr>
          <w:color w:val="000000"/>
          <w:sz w:val="24"/>
        </w:rPr>
      </w:pPr>
      <w:r>
        <w:rPr>
          <w:color w:val="000000"/>
          <w:sz w:val="24"/>
        </w:rPr>
        <w:t>rozhodování o vydání vyměnitelných nebo prioritních dluhopisů;</w:t>
      </w:r>
      <w:r>
        <w:rPr>
          <w:color w:val="000000"/>
          <w:sz w:val="24"/>
        </w:rPr>
        <w:tab/>
      </w:r>
    </w:p>
    <w:p w:rsidR="00B9786C" w:rsidRDefault="00B9786C" w:rsidP="00B9786C">
      <w:pPr>
        <w:numPr>
          <w:ilvl w:val="0"/>
          <w:numId w:val="6"/>
        </w:numPr>
        <w:tabs>
          <w:tab w:val="left" w:pos="567"/>
          <w:tab w:val="left" w:pos="992"/>
          <w:tab w:val="right" w:leader="hyphen" w:pos="9072"/>
        </w:tabs>
        <w:spacing w:after="120"/>
        <w:ind w:left="993" w:right="-1" w:hanging="426"/>
        <w:jc w:val="both"/>
        <w:rPr>
          <w:color w:val="000000"/>
          <w:sz w:val="24"/>
        </w:rPr>
      </w:pPr>
      <w:r>
        <w:rPr>
          <w:color w:val="000000"/>
          <w:sz w:val="24"/>
        </w:rPr>
        <w:t>volba a odvolání členů správní rady;</w:t>
      </w:r>
      <w:r>
        <w:rPr>
          <w:color w:val="000000"/>
          <w:sz w:val="24"/>
        </w:rPr>
        <w:tab/>
      </w:r>
    </w:p>
    <w:p w:rsidR="00B9786C" w:rsidRDefault="00B9786C" w:rsidP="00B9786C">
      <w:pPr>
        <w:numPr>
          <w:ilvl w:val="0"/>
          <w:numId w:val="6"/>
        </w:numPr>
        <w:tabs>
          <w:tab w:val="left" w:pos="567"/>
          <w:tab w:val="left" w:pos="992"/>
          <w:tab w:val="right" w:leader="hyphen" w:pos="9072"/>
        </w:tabs>
        <w:spacing w:after="120"/>
        <w:ind w:left="993" w:right="-1" w:hanging="426"/>
        <w:jc w:val="both"/>
        <w:rPr>
          <w:color w:val="000000"/>
          <w:sz w:val="24"/>
        </w:rPr>
      </w:pPr>
      <w:r>
        <w:rPr>
          <w:color w:val="000000"/>
          <w:sz w:val="24"/>
        </w:rPr>
        <w:t>schválení řádné, mimořádné nebo konsolidované účetní závěrky a v případech, kdy její vyhotovení stanoví jiný právní předpis, i mezitímní účetní závěrky;</w:t>
      </w:r>
      <w:r>
        <w:rPr>
          <w:color w:val="000000"/>
          <w:sz w:val="24"/>
        </w:rPr>
        <w:tab/>
      </w:r>
    </w:p>
    <w:p w:rsidR="00B9786C" w:rsidRDefault="00B9786C" w:rsidP="00B9786C">
      <w:pPr>
        <w:numPr>
          <w:ilvl w:val="0"/>
          <w:numId w:val="6"/>
        </w:numPr>
        <w:tabs>
          <w:tab w:val="left" w:pos="567"/>
          <w:tab w:val="left" w:pos="992"/>
          <w:tab w:val="right" w:leader="hyphen" w:pos="9072"/>
        </w:tabs>
        <w:spacing w:after="120"/>
        <w:ind w:left="993" w:right="-1" w:hanging="426"/>
        <w:jc w:val="both"/>
        <w:rPr>
          <w:color w:val="000000"/>
          <w:sz w:val="24"/>
        </w:rPr>
      </w:pPr>
      <w:r>
        <w:rPr>
          <w:color w:val="000000"/>
          <w:sz w:val="24"/>
        </w:rPr>
        <w:t>rozhodnutí o rozdělení zisku nebo jiných vlastních zdrojů, nebo o úhradě ztráty;</w:t>
      </w:r>
    </w:p>
    <w:p w:rsidR="00B9786C" w:rsidRDefault="00B9786C" w:rsidP="00B9786C">
      <w:pPr>
        <w:numPr>
          <w:ilvl w:val="0"/>
          <w:numId w:val="6"/>
        </w:numPr>
        <w:tabs>
          <w:tab w:val="left" w:pos="567"/>
          <w:tab w:val="left" w:pos="992"/>
          <w:tab w:val="right" w:leader="hyphen" w:pos="9072"/>
        </w:tabs>
        <w:spacing w:after="120"/>
        <w:ind w:left="993" w:right="-1" w:hanging="426"/>
        <w:jc w:val="both"/>
        <w:rPr>
          <w:color w:val="000000"/>
          <w:sz w:val="24"/>
        </w:rPr>
      </w:pPr>
      <w:r>
        <w:rPr>
          <w:color w:val="000000"/>
          <w:sz w:val="24"/>
        </w:rPr>
        <w:t>rozhodování o podání žádosti k přijetí účastnických cenných papírů společnosti k obchodování na evropském regulovaném trhu nebo o vyřazení těchto cenných papírů z obchodování na evropském regulovaném trhu;</w:t>
      </w:r>
      <w:r>
        <w:rPr>
          <w:color w:val="000000"/>
          <w:sz w:val="24"/>
        </w:rPr>
        <w:tab/>
      </w:r>
    </w:p>
    <w:p w:rsidR="00B9786C" w:rsidRDefault="00B9786C" w:rsidP="00B9786C">
      <w:pPr>
        <w:numPr>
          <w:ilvl w:val="0"/>
          <w:numId w:val="6"/>
        </w:numPr>
        <w:tabs>
          <w:tab w:val="left" w:pos="567"/>
          <w:tab w:val="left" w:pos="992"/>
          <w:tab w:val="right" w:leader="hyphen" w:pos="9072"/>
        </w:tabs>
        <w:spacing w:after="120"/>
        <w:ind w:left="993" w:right="-1" w:hanging="426"/>
        <w:jc w:val="both"/>
        <w:rPr>
          <w:color w:val="000000"/>
          <w:sz w:val="24"/>
        </w:rPr>
      </w:pPr>
      <w:r>
        <w:rPr>
          <w:color w:val="000000"/>
          <w:sz w:val="24"/>
        </w:rPr>
        <w:t>rozhodnutí o zrušení společnosti s likvidací, jmenování a odvolání likvidátora, včetně schvalování smlouvy o výkonu funkce a plnění podle § 61 zákona o obchodních korporacích, schválení konečné zprávy o průběhu likvidace a návrhu rozdělení likvidačního zůstatku;</w:t>
      </w:r>
      <w:r>
        <w:rPr>
          <w:color w:val="000000"/>
          <w:sz w:val="24"/>
        </w:rPr>
        <w:tab/>
      </w:r>
    </w:p>
    <w:p w:rsidR="00B9786C" w:rsidRDefault="00B9786C" w:rsidP="00B9786C">
      <w:pPr>
        <w:numPr>
          <w:ilvl w:val="0"/>
          <w:numId w:val="6"/>
        </w:numPr>
        <w:tabs>
          <w:tab w:val="left" w:pos="567"/>
          <w:tab w:val="left" w:pos="992"/>
          <w:tab w:val="right" w:leader="hyphen" w:pos="9072"/>
        </w:tabs>
        <w:spacing w:after="120"/>
        <w:ind w:left="993" w:right="-1" w:hanging="426"/>
        <w:jc w:val="both"/>
        <w:rPr>
          <w:color w:val="000000"/>
          <w:sz w:val="24"/>
        </w:rPr>
      </w:pPr>
      <w:r>
        <w:rPr>
          <w:color w:val="000000"/>
          <w:sz w:val="24"/>
        </w:rPr>
        <w:t>schválení převodu nebo zastavení závodu nebo takové části jmění, která by znamenala podstatnou změnu skutečného předmětu podnikání nebo činnosti společnosti;</w:t>
      </w:r>
      <w:r>
        <w:rPr>
          <w:color w:val="000000"/>
          <w:sz w:val="24"/>
        </w:rPr>
        <w:tab/>
      </w:r>
    </w:p>
    <w:p w:rsidR="00B9786C" w:rsidRDefault="00B9786C" w:rsidP="00B9786C">
      <w:pPr>
        <w:numPr>
          <w:ilvl w:val="0"/>
          <w:numId w:val="6"/>
        </w:numPr>
        <w:tabs>
          <w:tab w:val="left" w:pos="567"/>
          <w:tab w:val="left" w:pos="992"/>
          <w:tab w:val="right" w:leader="hyphen" w:pos="9072"/>
        </w:tabs>
        <w:spacing w:after="120"/>
        <w:ind w:left="993" w:right="-1" w:hanging="426"/>
        <w:jc w:val="both"/>
        <w:rPr>
          <w:color w:val="000000"/>
          <w:sz w:val="24"/>
        </w:rPr>
      </w:pPr>
      <w:r>
        <w:rPr>
          <w:color w:val="000000"/>
          <w:sz w:val="24"/>
        </w:rPr>
        <w:t>rozhodnutí o převzetí účinků jednání učiněných za společnost před jejím vznikem;</w:t>
      </w:r>
      <w:r>
        <w:rPr>
          <w:color w:val="000000"/>
          <w:sz w:val="24"/>
        </w:rPr>
        <w:tab/>
      </w:r>
    </w:p>
    <w:p w:rsidR="00B9786C" w:rsidRDefault="00B9786C" w:rsidP="00B9786C">
      <w:pPr>
        <w:numPr>
          <w:ilvl w:val="0"/>
          <w:numId w:val="6"/>
        </w:numPr>
        <w:tabs>
          <w:tab w:val="left" w:pos="567"/>
          <w:tab w:val="left" w:pos="992"/>
          <w:tab w:val="right" w:leader="hyphen" w:pos="9072"/>
        </w:tabs>
        <w:spacing w:after="120"/>
        <w:ind w:left="993" w:right="-1" w:hanging="426"/>
        <w:jc w:val="both"/>
        <w:rPr>
          <w:color w:val="000000"/>
          <w:sz w:val="24"/>
        </w:rPr>
      </w:pPr>
      <w:r>
        <w:rPr>
          <w:color w:val="000000"/>
          <w:sz w:val="24"/>
        </w:rPr>
        <w:lastRenderedPageBreak/>
        <w:t>schválení smlouvy o tiché společnosti a jiných smluv, jimiž se zakládá právo na podíl na zisku nebo jiných vlastních zdrojích společnosti;</w:t>
      </w:r>
      <w:r>
        <w:rPr>
          <w:color w:val="000000"/>
          <w:sz w:val="24"/>
        </w:rPr>
        <w:tab/>
      </w:r>
    </w:p>
    <w:p w:rsidR="00B9786C" w:rsidRDefault="00B9786C" w:rsidP="00B9786C">
      <w:pPr>
        <w:numPr>
          <w:ilvl w:val="0"/>
          <w:numId w:val="6"/>
        </w:numPr>
        <w:tabs>
          <w:tab w:val="left" w:pos="567"/>
          <w:tab w:val="left" w:pos="992"/>
          <w:tab w:val="right" w:leader="hyphen" w:pos="9072"/>
        </w:tabs>
        <w:spacing w:after="120"/>
        <w:ind w:left="993" w:right="-1" w:hanging="426"/>
        <w:jc w:val="both"/>
        <w:rPr>
          <w:sz w:val="24"/>
          <w:szCs w:val="24"/>
        </w:rPr>
      </w:pPr>
      <w:r>
        <w:rPr>
          <w:sz w:val="24"/>
          <w:szCs w:val="24"/>
        </w:rPr>
        <w:t>rozhodování o pachtu závodu společnosti nebo jeho části tvořící samostatnou organizační složku;</w:t>
      </w:r>
      <w:r>
        <w:rPr>
          <w:sz w:val="24"/>
          <w:szCs w:val="24"/>
        </w:rPr>
        <w:tab/>
      </w:r>
    </w:p>
    <w:p w:rsidR="00B9786C" w:rsidRDefault="00B9786C" w:rsidP="00B9786C">
      <w:pPr>
        <w:numPr>
          <w:ilvl w:val="0"/>
          <w:numId w:val="6"/>
        </w:numPr>
        <w:tabs>
          <w:tab w:val="left" w:pos="567"/>
          <w:tab w:val="left" w:pos="992"/>
          <w:tab w:val="right" w:leader="hyphen" w:pos="9072"/>
        </w:tabs>
        <w:spacing w:after="120"/>
        <w:ind w:left="993" w:right="-1" w:hanging="426"/>
        <w:jc w:val="both"/>
        <w:rPr>
          <w:sz w:val="24"/>
          <w:szCs w:val="24"/>
        </w:rPr>
      </w:pPr>
      <w:r>
        <w:rPr>
          <w:sz w:val="24"/>
          <w:szCs w:val="24"/>
        </w:rPr>
        <w:t>udělování pokynů správní radě a schvalování zásad činnosti správní rady, nejsou-li v rozporu s právními předpisy; valná hromada může zejména zakázat členovi statutárního orgánu určité právní jednání, je-li to v zájmu společnosti</w:t>
      </w:r>
      <w:r>
        <w:rPr>
          <w:szCs w:val="22"/>
        </w:rPr>
        <w:t xml:space="preserve"> </w:t>
      </w:r>
      <w:r>
        <w:rPr>
          <w:sz w:val="24"/>
          <w:szCs w:val="24"/>
        </w:rPr>
        <w:t>a není-li to v rozporu s donucujícími ustanoveními právních předpisů;</w:t>
      </w:r>
      <w:r>
        <w:rPr>
          <w:sz w:val="24"/>
          <w:szCs w:val="24"/>
        </w:rPr>
        <w:tab/>
      </w:r>
    </w:p>
    <w:p w:rsidR="00B9786C" w:rsidRDefault="00B9786C" w:rsidP="00B9786C">
      <w:pPr>
        <w:numPr>
          <w:ilvl w:val="0"/>
          <w:numId w:val="6"/>
        </w:numPr>
        <w:tabs>
          <w:tab w:val="left" w:pos="567"/>
          <w:tab w:val="left" w:pos="992"/>
          <w:tab w:val="right" w:leader="hyphen" w:pos="9072"/>
        </w:tabs>
        <w:spacing w:after="120"/>
        <w:ind w:left="993" w:right="-1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rozhodnutí o přeměně společnosti, ledaže zákon upravující přeměny obchodních společností a družstev stanoví jinak; </w:t>
      </w:r>
      <w:r>
        <w:rPr>
          <w:sz w:val="24"/>
          <w:szCs w:val="24"/>
        </w:rPr>
        <w:tab/>
      </w:r>
    </w:p>
    <w:p w:rsidR="00B9786C" w:rsidRDefault="00B9786C" w:rsidP="00B9786C">
      <w:pPr>
        <w:numPr>
          <w:ilvl w:val="0"/>
          <w:numId w:val="6"/>
        </w:numPr>
        <w:tabs>
          <w:tab w:val="left" w:pos="567"/>
          <w:tab w:val="left" w:pos="992"/>
          <w:tab w:val="right" w:leader="hyphen" w:pos="9072"/>
        </w:tabs>
        <w:spacing w:after="120"/>
        <w:ind w:left="993" w:right="-1" w:hanging="426"/>
        <w:jc w:val="both"/>
        <w:rPr>
          <w:color w:val="000000"/>
          <w:sz w:val="24"/>
        </w:rPr>
      </w:pPr>
      <w:proofErr w:type="gramStart"/>
      <w:r>
        <w:rPr>
          <w:color w:val="000000"/>
          <w:sz w:val="24"/>
        </w:rPr>
        <w:t>další</w:t>
      </w:r>
      <w:proofErr w:type="gramEnd"/>
      <w:r>
        <w:rPr>
          <w:color w:val="000000"/>
          <w:sz w:val="24"/>
        </w:rPr>
        <w:t xml:space="preserve"> rozhodnutí, které zákon o obchodních korporacích nebo tyto stanovy svěřují do působnosti valné hromady.</w:t>
      </w:r>
      <w:r>
        <w:rPr>
          <w:color w:val="000000"/>
          <w:sz w:val="24"/>
        </w:rPr>
        <w:tab/>
      </w:r>
    </w:p>
    <w:p w:rsidR="00B9786C" w:rsidRDefault="00B9786C" w:rsidP="00B9786C">
      <w:pPr>
        <w:numPr>
          <w:ilvl w:val="0"/>
          <w:numId w:val="7"/>
        </w:numPr>
        <w:tabs>
          <w:tab w:val="left" w:pos="567"/>
          <w:tab w:val="left" w:pos="992"/>
          <w:tab w:val="right" w:leader="hyphen" w:pos="9072"/>
        </w:tabs>
        <w:spacing w:after="120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Valná hromada si nemůže vyhradit rozhodování případů, které do její působnosti nesvěřuje zákon o obchodních korporacích nebo tyto stanovy.</w:t>
      </w:r>
      <w:r>
        <w:rPr>
          <w:sz w:val="24"/>
          <w:szCs w:val="24"/>
        </w:rPr>
        <w:tab/>
      </w:r>
    </w:p>
    <w:p w:rsidR="00B9786C" w:rsidRDefault="00B9786C" w:rsidP="00B9786C">
      <w:pPr>
        <w:numPr>
          <w:ilvl w:val="0"/>
          <w:numId w:val="7"/>
        </w:numPr>
        <w:tabs>
          <w:tab w:val="left" w:pos="567"/>
          <w:tab w:val="left" w:pos="992"/>
          <w:tab w:val="right" w:leader="hyphen" w:pos="9072"/>
        </w:tabs>
        <w:spacing w:after="120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Valnou hromadu svolává správní rada alespoň jednou za účetní období. Valná hromada, která schvaluje řádnou účetní závěrku, se musí konat nejpozději do 6 (šesti) měsíců </w:t>
      </w:r>
      <w:proofErr w:type="gramStart"/>
      <w:r>
        <w:rPr>
          <w:sz w:val="24"/>
          <w:szCs w:val="24"/>
        </w:rPr>
        <w:t>od</w:t>
      </w:r>
      <w:proofErr w:type="gramEnd"/>
      <w:r>
        <w:rPr>
          <w:sz w:val="24"/>
          <w:szCs w:val="24"/>
        </w:rPr>
        <w:t xml:space="preserve"> posledního dne předcházejícího účetního období.</w:t>
      </w:r>
      <w:r>
        <w:rPr>
          <w:sz w:val="24"/>
          <w:szCs w:val="24"/>
        </w:rPr>
        <w:tab/>
      </w:r>
    </w:p>
    <w:p w:rsidR="00B9786C" w:rsidRDefault="00B9786C" w:rsidP="00B9786C">
      <w:pPr>
        <w:numPr>
          <w:ilvl w:val="0"/>
          <w:numId w:val="7"/>
        </w:numPr>
        <w:tabs>
          <w:tab w:val="left" w:pos="567"/>
          <w:tab w:val="left" w:pos="992"/>
          <w:tab w:val="right" w:leader="hyphen" w:pos="9072"/>
        </w:tabs>
        <w:spacing w:after="120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Vedle případů, kdy valnou hromadu svolává správní rada společnosti, svolává valnou hromadu v zákonem stanovených případech také člen správní rady nebo kvalifikovaný akcionář </w:t>
      </w:r>
      <w:proofErr w:type="gramStart"/>
      <w:r>
        <w:rPr>
          <w:sz w:val="24"/>
          <w:szCs w:val="24"/>
        </w:rPr>
        <w:t>na</w:t>
      </w:r>
      <w:proofErr w:type="gramEnd"/>
      <w:r>
        <w:rPr>
          <w:sz w:val="24"/>
          <w:szCs w:val="24"/>
        </w:rPr>
        <w:t xml:space="preserve"> základě zmocnění soudem. </w:t>
      </w:r>
      <w:r>
        <w:rPr>
          <w:sz w:val="24"/>
          <w:szCs w:val="24"/>
        </w:rPr>
        <w:tab/>
      </w:r>
    </w:p>
    <w:p w:rsidR="00B9786C" w:rsidRDefault="00B9786C" w:rsidP="00B9786C">
      <w:pPr>
        <w:numPr>
          <w:ilvl w:val="0"/>
          <w:numId w:val="7"/>
        </w:numPr>
        <w:tabs>
          <w:tab w:val="left" w:pos="567"/>
          <w:tab w:val="left" w:pos="992"/>
          <w:tab w:val="right" w:leader="hyphen" w:pos="9072"/>
        </w:tabs>
        <w:spacing w:after="120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Svolavatel uveřejní nejméně 30 (třicet) dnů před konáním valné hromady pozvánku </w:t>
      </w:r>
      <w:proofErr w:type="gramStart"/>
      <w:r>
        <w:rPr>
          <w:sz w:val="24"/>
          <w:szCs w:val="24"/>
        </w:rPr>
        <w:t>na</w:t>
      </w:r>
      <w:proofErr w:type="gramEnd"/>
      <w:r>
        <w:rPr>
          <w:sz w:val="24"/>
          <w:szCs w:val="24"/>
        </w:rPr>
        <w:t xml:space="preserve"> valnou hromadu na internetové stránce společnosti a současně ji zašle akcionářům na adre</w:t>
      </w:r>
      <w:r w:rsidR="008C38BC">
        <w:rPr>
          <w:sz w:val="24"/>
          <w:szCs w:val="24"/>
        </w:rPr>
        <w:t xml:space="preserve">su uvedenou v seznamu akcionářů nebo </w:t>
      </w:r>
      <w:r w:rsidR="008C38BC" w:rsidRPr="008C38BC">
        <w:rPr>
          <w:sz w:val="24"/>
          <w:szCs w:val="24"/>
        </w:rPr>
        <w:t>na jejich známou e-mailovou adresu.</w:t>
      </w:r>
      <w:r w:rsidR="008C38B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Pozvánka musí být </w:t>
      </w:r>
      <w:proofErr w:type="gramStart"/>
      <w:r>
        <w:rPr>
          <w:sz w:val="24"/>
          <w:szCs w:val="24"/>
        </w:rPr>
        <w:t>na</w:t>
      </w:r>
      <w:proofErr w:type="gramEnd"/>
      <w:r>
        <w:rPr>
          <w:sz w:val="24"/>
          <w:szCs w:val="24"/>
        </w:rPr>
        <w:t xml:space="preserve"> internetových stránkách společnosti uveřejněna až do okamžiku konání valné hromady.</w:t>
      </w:r>
      <w:r>
        <w:rPr>
          <w:sz w:val="24"/>
          <w:szCs w:val="24"/>
        </w:rPr>
        <w:tab/>
      </w:r>
    </w:p>
    <w:p w:rsidR="00B9786C" w:rsidRDefault="00B9786C" w:rsidP="00B9786C">
      <w:pPr>
        <w:numPr>
          <w:ilvl w:val="0"/>
          <w:numId w:val="7"/>
        </w:numPr>
        <w:tabs>
          <w:tab w:val="left" w:pos="567"/>
          <w:tab w:val="left" w:pos="992"/>
          <w:tab w:val="right" w:leader="hyphen" w:pos="9072"/>
        </w:tabs>
        <w:spacing w:after="120"/>
        <w:ind w:left="567" w:right="-1" w:hanging="567"/>
        <w:rPr>
          <w:sz w:val="24"/>
          <w:szCs w:val="24"/>
        </w:rPr>
      </w:pPr>
      <w:r>
        <w:rPr>
          <w:sz w:val="24"/>
          <w:szCs w:val="24"/>
        </w:rPr>
        <w:t>Pozvánka na valnou hromadu musí obsahovat alespoň:</w:t>
      </w:r>
      <w:r>
        <w:rPr>
          <w:sz w:val="24"/>
          <w:szCs w:val="24"/>
        </w:rPr>
        <w:tab/>
      </w:r>
    </w:p>
    <w:p w:rsidR="00B9786C" w:rsidRDefault="00B9786C" w:rsidP="00B9786C">
      <w:pPr>
        <w:numPr>
          <w:ilvl w:val="0"/>
          <w:numId w:val="8"/>
        </w:numPr>
        <w:tabs>
          <w:tab w:val="left" w:pos="567"/>
          <w:tab w:val="left" w:pos="992"/>
          <w:tab w:val="right" w:leader="hyphen" w:pos="9072"/>
        </w:tabs>
        <w:spacing w:after="120"/>
        <w:ind w:left="993" w:right="-1" w:hanging="426"/>
        <w:jc w:val="both"/>
        <w:rPr>
          <w:sz w:val="24"/>
          <w:szCs w:val="24"/>
        </w:rPr>
      </w:pPr>
      <w:r>
        <w:rPr>
          <w:sz w:val="24"/>
          <w:szCs w:val="24"/>
        </w:rPr>
        <w:t>obchodní firmu a sídlo společnosti;</w:t>
      </w:r>
      <w:r>
        <w:rPr>
          <w:sz w:val="24"/>
          <w:szCs w:val="24"/>
        </w:rPr>
        <w:tab/>
      </w:r>
    </w:p>
    <w:p w:rsidR="00B9786C" w:rsidRDefault="00B9786C" w:rsidP="00B9786C">
      <w:pPr>
        <w:numPr>
          <w:ilvl w:val="0"/>
          <w:numId w:val="8"/>
        </w:numPr>
        <w:tabs>
          <w:tab w:val="left" w:pos="567"/>
          <w:tab w:val="left" w:pos="992"/>
          <w:tab w:val="right" w:leader="hyphen" w:pos="9072"/>
        </w:tabs>
        <w:spacing w:after="120"/>
        <w:ind w:left="993" w:right="-1" w:hanging="426"/>
        <w:jc w:val="both"/>
        <w:rPr>
          <w:sz w:val="24"/>
          <w:szCs w:val="24"/>
        </w:rPr>
      </w:pPr>
      <w:r>
        <w:rPr>
          <w:sz w:val="24"/>
          <w:szCs w:val="24"/>
        </w:rPr>
        <w:t>místo, datum a hodinu konání valné hromady;</w:t>
      </w:r>
      <w:r>
        <w:rPr>
          <w:sz w:val="24"/>
          <w:szCs w:val="24"/>
        </w:rPr>
        <w:tab/>
      </w:r>
    </w:p>
    <w:p w:rsidR="00B9786C" w:rsidRDefault="00B9786C" w:rsidP="00B9786C">
      <w:pPr>
        <w:numPr>
          <w:ilvl w:val="0"/>
          <w:numId w:val="8"/>
        </w:numPr>
        <w:tabs>
          <w:tab w:val="left" w:pos="567"/>
          <w:tab w:val="left" w:pos="992"/>
          <w:tab w:val="right" w:leader="hyphen" w:pos="9072"/>
        </w:tabs>
        <w:spacing w:after="120"/>
        <w:ind w:left="993" w:right="-1" w:hanging="426"/>
        <w:jc w:val="both"/>
        <w:rPr>
          <w:sz w:val="24"/>
          <w:szCs w:val="24"/>
        </w:rPr>
      </w:pPr>
      <w:r>
        <w:rPr>
          <w:sz w:val="24"/>
          <w:szCs w:val="24"/>
        </w:rPr>
        <w:t>označení, zda se svolává řádná nebo náhradní valná hromada;</w:t>
      </w:r>
      <w:r>
        <w:rPr>
          <w:sz w:val="24"/>
          <w:szCs w:val="24"/>
        </w:rPr>
        <w:tab/>
      </w:r>
    </w:p>
    <w:p w:rsidR="00B9786C" w:rsidRDefault="00B9786C" w:rsidP="00B9786C">
      <w:pPr>
        <w:numPr>
          <w:ilvl w:val="0"/>
          <w:numId w:val="8"/>
        </w:numPr>
        <w:tabs>
          <w:tab w:val="left" w:pos="567"/>
          <w:tab w:val="left" w:pos="992"/>
          <w:tab w:val="right" w:leader="hyphen" w:pos="9072"/>
        </w:tabs>
        <w:spacing w:after="120"/>
        <w:ind w:left="993" w:right="-1" w:hanging="426"/>
        <w:jc w:val="both"/>
        <w:rPr>
          <w:sz w:val="24"/>
          <w:szCs w:val="24"/>
        </w:rPr>
      </w:pPr>
      <w:r>
        <w:rPr>
          <w:sz w:val="24"/>
          <w:szCs w:val="24"/>
        </w:rPr>
        <w:t>pořad valné hromady, včetně uvedení osoby, je-li navrhovaná jako člen voleného orgánu společnosti;</w:t>
      </w:r>
      <w:r>
        <w:rPr>
          <w:sz w:val="24"/>
          <w:szCs w:val="24"/>
        </w:rPr>
        <w:tab/>
      </w:r>
    </w:p>
    <w:p w:rsidR="00B9786C" w:rsidRDefault="00B9786C" w:rsidP="00B9786C">
      <w:pPr>
        <w:numPr>
          <w:ilvl w:val="0"/>
          <w:numId w:val="8"/>
        </w:numPr>
        <w:tabs>
          <w:tab w:val="left" w:pos="567"/>
          <w:tab w:val="left" w:pos="992"/>
          <w:tab w:val="right" w:leader="hyphen" w:pos="9072"/>
        </w:tabs>
        <w:spacing w:after="120"/>
        <w:ind w:left="993" w:right="-1" w:hanging="426"/>
        <w:jc w:val="both"/>
        <w:rPr>
          <w:sz w:val="24"/>
          <w:szCs w:val="24"/>
        </w:rPr>
      </w:pPr>
      <w:r>
        <w:rPr>
          <w:sz w:val="24"/>
          <w:szCs w:val="24"/>
        </w:rPr>
        <w:t>návrh usnesení valné hromady a jeho zdůvodnění;</w:t>
      </w:r>
      <w:r>
        <w:rPr>
          <w:sz w:val="24"/>
          <w:szCs w:val="24"/>
        </w:rPr>
        <w:tab/>
      </w:r>
    </w:p>
    <w:p w:rsidR="00B9786C" w:rsidRDefault="00B9786C" w:rsidP="00B9786C">
      <w:pPr>
        <w:numPr>
          <w:ilvl w:val="0"/>
          <w:numId w:val="8"/>
        </w:numPr>
        <w:tabs>
          <w:tab w:val="left" w:pos="567"/>
          <w:tab w:val="left" w:pos="992"/>
          <w:tab w:val="right" w:leader="hyphen" w:pos="9072"/>
        </w:tabs>
        <w:spacing w:after="120"/>
        <w:ind w:left="993" w:right="-1" w:hanging="426"/>
        <w:jc w:val="both"/>
        <w:rPr>
          <w:sz w:val="24"/>
          <w:szCs w:val="24"/>
        </w:rPr>
      </w:pPr>
      <w:r>
        <w:rPr>
          <w:sz w:val="24"/>
          <w:szCs w:val="24"/>
        </w:rPr>
        <w:t>rozhodný den k účasti na valné hromadě, pokud byl určen, a vysvětlení jeho významu pro hlasování na valné hromadě;</w:t>
      </w:r>
      <w:r>
        <w:rPr>
          <w:sz w:val="24"/>
          <w:szCs w:val="24"/>
        </w:rPr>
        <w:tab/>
      </w:r>
    </w:p>
    <w:p w:rsidR="00B9786C" w:rsidRDefault="00B9786C" w:rsidP="00B9786C">
      <w:pPr>
        <w:numPr>
          <w:ilvl w:val="0"/>
          <w:numId w:val="8"/>
        </w:numPr>
        <w:tabs>
          <w:tab w:val="left" w:pos="567"/>
          <w:tab w:val="left" w:pos="992"/>
          <w:tab w:val="right" w:leader="hyphen" w:pos="9072"/>
        </w:tabs>
        <w:spacing w:after="120"/>
        <w:ind w:left="993" w:right="-1" w:hanging="426"/>
        <w:jc w:val="both"/>
        <w:rPr>
          <w:sz w:val="24"/>
          <w:szCs w:val="24"/>
        </w:rPr>
      </w:pPr>
      <w:r>
        <w:rPr>
          <w:sz w:val="24"/>
          <w:szCs w:val="24"/>
        </w:rPr>
        <w:t>má-li být na pořadu valné hromady změna stanov, musí pozvánka obsahovat alespoň stručný a výstižný popis a odůvodnění navrhovaných změn a akcionáři musí být v pozvánce upozorněni na to, že úplný návrh změny stanov správní rada uveřejní spolu s pozvánkou na valnou hromadu na internetových stránkách společnosti a společnost umožní každému akcionáři, aby ve lhůtě uvedené v pozvánce nahlédl v sídle společnosti zdarma do návrhu změny stanov dle § 407 odst. 3 zákona o obchodních korporacích.</w:t>
      </w:r>
      <w:r>
        <w:rPr>
          <w:sz w:val="24"/>
          <w:szCs w:val="24"/>
        </w:rPr>
        <w:tab/>
      </w:r>
    </w:p>
    <w:p w:rsidR="00B9786C" w:rsidRDefault="00B9786C" w:rsidP="00B9786C">
      <w:pPr>
        <w:numPr>
          <w:ilvl w:val="0"/>
          <w:numId w:val="7"/>
        </w:numPr>
        <w:tabs>
          <w:tab w:val="left" w:pos="567"/>
          <w:tab w:val="left" w:pos="992"/>
          <w:tab w:val="right" w:leader="hyphen" w:pos="9072"/>
        </w:tabs>
        <w:spacing w:after="120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Pokud s tím budou souhlasit všichni akcionáři, může se valná hromada konat i bez splnění požadavků stanovených zákonem a těmito stanovami pro svolání valné hromady.</w:t>
      </w:r>
      <w:r>
        <w:rPr>
          <w:sz w:val="24"/>
          <w:szCs w:val="24"/>
        </w:rPr>
        <w:tab/>
      </w:r>
    </w:p>
    <w:p w:rsidR="00B9786C" w:rsidRDefault="00B9786C" w:rsidP="00B9786C">
      <w:pPr>
        <w:numPr>
          <w:ilvl w:val="0"/>
          <w:numId w:val="7"/>
        </w:numPr>
        <w:tabs>
          <w:tab w:val="left" w:pos="567"/>
          <w:tab w:val="left" w:pos="992"/>
          <w:tab w:val="right" w:leader="hyphen" w:pos="9072"/>
        </w:tabs>
        <w:spacing w:after="120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Záležitosti, které nebyly zařazeny </w:t>
      </w:r>
      <w:proofErr w:type="gramStart"/>
      <w:r>
        <w:rPr>
          <w:sz w:val="24"/>
          <w:szCs w:val="24"/>
        </w:rPr>
        <w:t>na</w:t>
      </w:r>
      <w:proofErr w:type="gramEnd"/>
      <w:r>
        <w:rPr>
          <w:sz w:val="24"/>
          <w:szCs w:val="24"/>
        </w:rPr>
        <w:t xml:space="preserve"> pořad jednání valné hromady, lze na jejím jednání projednat nebo rozhodnout jen tehdy, projeví-li s tím souhlas všichni akcionáři.</w:t>
      </w:r>
      <w:r>
        <w:rPr>
          <w:sz w:val="24"/>
          <w:szCs w:val="24"/>
        </w:rPr>
        <w:tab/>
      </w:r>
    </w:p>
    <w:p w:rsidR="00B9786C" w:rsidRDefault="00B9786C" w:rsidP="00B9786C">
      <w:pPr>
        <w:widowControl w:val="0"/>
        <w:numPr>
          <w:ilvl w:val="0"/>
          <w:numId w:val="7"/>
        </w:numPr>
        <w:tabs>
          <w:tab w:val="left" w:pos="567"/>
          <w:tab w:val="left" w:pos="992"/>
          <w:tab w:val="right" w:leader="hyphen" w:pos="9072"/>
        </w:tabs>
        <w:autoSpaceDE w:val="0"/>
        <w:autoSpaceDN w:val="0"/>
        <w:adjustRightInd w:val="0"/>
        <w:spacing w:after="120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Valná hromada zvolí svého předsedu, zapisovatele, ověřovatele zápisu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osobu pověřenou sčítáním hlasů. Do doby zvolení předsedy řídí jednání valné hromady svolavatel nebo jím určená osoba.</w:t>
      </w:r>
      <w:r>
        <w:rPr>
          <w:sz w:val="24"/>
          <w:szCs w:val="24"/>
        </w:rPr>
        <w:tab/>
        <w:t xml:space="preserve"> </w:t>
      </w:r>
    </w:p>
    <w:p w:rsidR="00B9786C" w:rsidRDefault="00B9786C" w:rsidP="00B9786C">
      <w:pPr>
        <w:widowControl w:val="0"/>
        <w:numPr>
          <w:ilvl w:val="0"/>
          <w:numId w:val="7"/>
        </w:numPr>
        <w:tabs>
          <w:tab w:val="left" w:pos="567"/>
          <w:tab w:val="left" w:pos="992"/>
          <w:tab w:val="right" w:leader="hyphen" w:pos="9072"/>
        </w:tabs>
        <w:autoSpaceDE w:val="0"/>
        <w:autoSpaceDN w:val="0"/>
        <w:adjustRightInd w:val="0"/>
        <w:spacing w:after="120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Zapisovatel je povinen vyhotovit zápis z jednání valné hromady do 15 (patnácti) dnů ode dne jejího ukončení. Zápis podepisuje zapisovatel, předseda valné hromady nebo svolavatel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ověřovatel zápisu. </w:t>
      </w:r>
      <w:r>
        <w:rPr>
          <w:color w:val="000000"/>
          <w:sz w:val="24"/>
          <w:szCs w:val="24"/>
        </w:rPr>
        <w:t>K zápisu se přiloží předložené návrhy, prohlášení a listina přítomných.</w:t>
      </w:r>
      <w:r>
        <w:rPr>
          <w:sz w:val="24"/>
          <w:szCs w:val="24"/>
        </w:rPr>
        <w:tab/>
      </w:r>
    </w:p>
    <w:p w:rsidR="00B9786C" w:rsidRDefault="00B9786C" w:rsidP="00B9786C">
      <w:pPr>
        <w:numPr>
          <w:ilvl w:val="0"/>
          <w:numId w:val="7"/>
        </w:numPr>
        <w:tabs>
          <w:tab w:val="left" w:pos="567"/>
          <w:tab w:val="left" w:pos="992"/>
          <w:tab w:val="right" w:leader="hyphen" w:pos="9072"/>
        </w:tabs>
        <w:spacing w:after="120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Hlasování </w:t>
      </w:r>
      <w:proofErr w:type="gramStart"/>
      <w:r>
        <w:rPr>
          <w:sz w:val="24"/>
          <w:szCs w:val="24"/>
        </w:rPr>
        <w:t>na</w:t>
      </w:r>
      <w:proofErr w:type="gramEnd"/>
      <w:r>
        <w:rPr>
          <w:sz w:val="24"/>
          <w:szCs w:val="24"/>
        </w:rPr>
        <w:t xml:space="preserve"> valné hromadě se děje zdvižením ruky. Nejprve se vždy hlasuje o návrhu svolavatele valné hromady.</w:t>
      </w:r>
      <w:r>
        <w:rPr>
          <w:sz w:val="24"/>
          <w:szCs w:val="24"/>
        </w:rPr>
        <w:tab/>
      </w:r>
    </w:p>
    <w:p w:rsidR="00B9786C" w:rsidRDefault="00B9786C" w:rsidP="00B9786C">
      <w:pPr>
        <w:numPr>
          <w:ilvl w:val="0"/>
          <w:numId w:val="7"/>
        </w:numPr>
        <w:tabs>
          <w:tab w:val="left" w:pos="567"/>
          <w:tab w:val="left" w:pos="992"/>
          <w:tab w:val="right" w:leader="hyphen" w:pos="9072"/>
        </w:tabs>
        <w:spacing w:after="120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Valná hromada je schopná usnášení, jsou-li přítomni akcionáři vlastnící akcie, jejichž jmenovitá hodnota přesahuje 50% (padesát procent) základního kapitálu.</w:t>
      </w:r>
      <w:r>
        <w:rPr>
          <w:sz w:val="24"/>
          <w:szCs w:val="24"/>
        </w:rPr>
        <w:tab/>
      </w:r>
    </w:p>
    <w:p w:rsidR="00B9786C" w:rsidRDefault="00B9786C" w:rsidP="00B9786C">
      <w:pPr>
        <w:numPr>
          <w:ilvl w:val="0"/>
          <w:numId w:val="7"/>
        </w:numPr>
        <w:tabs>
          <w:tab w:val="left" w:pos="567"/>
          <w:tab w:val="left" w:pos="992"/>
          <w:tab w:val="right" w:leader="hyphen" w:pos="9072"/>
        </w:tabs>
        <w:spacing w:after="120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Valná hromada rozhoduje většinou hlasů přítomných akcionářů, ledaže zákon o obchodních korporacích nebo tyto stanovy stanoví jinak.</w:t>
      </w:r>
      <w:r>
        <w:rPr>
          <w:sz w:val="24"/>
          <w:szCs w:val="24"/>
        </w:rPr>
        <w:tab/>
      </w:r>
    </w:p>
    <w:p w:rsidR="00B9786C" w:rsidRDefault="00B9786C" w:rsidP="00B9786C">
      <w:pPr>
        <w:numPr>
          <w:ilvl w:val="0"/>
          <w:numId w:val="7"/>
        </w:numPr>
        <w:tabs>
          <w:tab w:val="left" w:pos="567"/>
          <w:tab w:val="left" w:pos="992"/>
          <w:tab w:val="right" w:leader="hyphen" w:pos="9072"/>
        </w:tabs>
        <w:spacing w:after="120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Rozhodování per rollam podle § 418 až 420 zákona o obchodních korporacích se nepřipouští.</w:t>
      </w:r>
      <w:r>
        <w:rPr>
          <w:sz w:val="24"/>
          <w:szCs w:val="24"/>
        </w:rPr>
        <w:tab/>
      </w:r>
    </w:p>
    <w:p w:rsidR="00B9786C" w:rsidRDefault="00B9786C" w:rsidP="00B9786C">
      <w:pPr>
        <w:tabs>
          <w:tab w:val="left" w:pos="567"/>
          <w:tab w:val="left" w:pos="992"/>
          <w:tab w:val="right" w:leader="hyphen" w:pos="9072"/>
        </w:tabs>
        <w:jc w:val="center"/>
        <w:rPr>
          <w:b/>
          <w:sz w:val="24"/>
          <w:szCs w:val="24"/>
        </w:rPr>
      </w:pPr>
    </w:p>
    <w:p w:rsidR="00B9786C" w:rsidRDefault="00B9786C" w:rsidP="00B9786C">
      <w:pPr>
        <w:tabs>
          <w:tab w:val="left" w:pos="567"/>
          <w:tab w:val="num" w:pos="709"/>
          <w:tab w:val="left" w:pos="992"/>
          <w:tab w:val="right" w:leader="hyphen" w:pos="9072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Čl. 8</w:t>
      </w:r>
    </w:p>
    <w:p w:rsidR="00B9786C" w:rsidRDefault="00B9786C" w:rsidP="00B9786C">
      <w:pPr>
        <w:tabs>
          <w:tab w:val="left" w:pos="567"/>
          <w:tab w:val="num" w:pos="709"/>
          <w:tab w:val="left" w:pos="992"/>
          <w:tab w:val="right" w:leader="hyphen" w:pos="9072"/>
        </w:tabs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SPRÁVNÍ RADA</w:t>
      </w:r>
    </w:p>
    <w:p w:rsidR="00B9786C" w:rsidRDefault="00B9786C" w:rsidP="00B9786C">
      <w:pPr>
        <w:numPr>
          <w:ilvl w:val="0"/>
          <w:numId w:val="9"/>
        </w:numPr>
        <w:tabs>
          <w:tab w:val="left" w:pos="567"/>
          <w:tab w:val="left" w:pos="992"/>
          <w:tab w:val="right" w:leader="hyphen" w:pos="9072"/>
        </w:tabs>
        <w:spacing w:after="120"/>
        <w:ind w:left="567" w:hanging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S</w:t>
      </w:r>
      <w:r>
        <w:rPr>
          <w:sz w:val="24"/>
          <w:szCs w:val="24"/>
        </w:rPr>
        <w:t xml:space="preserve">právní rada je statutárním orgánem společnosti, kterému náleží obchodní vedení společnosti a kterému přísluší dohled </w:t>
      </w:r>
      <w:proofErr w:type="gramStart"/>
      <w:r>
        <w:rPr>
          <w:sz w:val="24"/>
          <w:szCs w:val="24"/>
        </w:rPr>
        <w:t>nad</w:t>
      </w:r>
      <w:proofErr w:type="gramEnd"/>
      <w:r>
        <w:rPr>
          <w:sz w:val="24"/>
          <w:szCs w:val="24"/>
        </w:rPr>
        <w:t xml:space="preserve"> činností společnosti.</w:t>
      </w:r>
      <w:r>
        <w:rPr>
          <w:sz w:val="24"/>
          <w:szCs w:val="24"/>
        </w:rPr>
        <w:tab/>
      </w:r>
    </w:p>
    <w:p w:rsidR="00B9786C" w:rsidRDefault="00B9786C" w:rsidP="00B9786C">
      <w:pPr>
        <w:numPr>
          <w:ilvl w:val="0"/>
          <w:numId w:val="9"/>
        </w:numPr>
        <w:tabs>
          <w:tab w:val="left" w:pos="567"/>
          <w:tab w:val="left" w:pos="992"/>
          <w:tab w:val="right" w:leader="hyphen" w:pos="9072"/>
        </w:tabs>
        <w:spacing w:after="120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Správní rada má jednoho člena, kterého volí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odvolává valná hromada.</w:t>
      </w:r>
      <w:r>
        <w:rPr>
          <w:sz w:val="24"/>
          <w:szCs w:val="24"/>
        </w:rPr>
        <w:tab/>
      </w:r>
    </w:p>
    <w:p w:rsidR="00B9786C" w:rsidRDefault="00B9786C" w:rsidP="00B9786C">
      <w:pPr>
        <w:numPr>
          <w:ilvl w:val="0"/>
          <w:numId w:val="9"/>
        </w:numPr>
        <w:tabs>
          <w:tab w:val="left" w:pos="567"/>
          <w:tab w:val="left" w:pos="992"/>
          <w:tab w:val="right" w:leader="hyphen" w:pos="9072"/>
        </w:tabs>
        <w:spacing w:after="120"/>
        <w:ind w:left="567" w:hanging="567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Délka funkčního období člena správní rady je 15 (patnáct) let. Opětovná volba členů správní rady je možná.</w:t>
      </w:r>
      <w:r>
        <w:rPr>
          <w:sz w:val="24"/>
          <w:szCs w:val="24"/>
        </w:rPr>
        <w:tab/>
      </w:r>
    </w:p>
    <w:p w:rsidR="00B9786C" w:rsidRDefault="00B9786C" w:rsidP="00B9786C">
      <w:pPr>
        <w:numPr>
          <w:ilvl w:val="0"/>
          <w:numId w:val="9"/>
        </w:numPr>
        <w:tabs>
          <w:tab w:val="left" w:pos="567"/>
          <w:tab w:val="left" w:pos="992"/>
          <w:tab w:val="right" w:leader="hyphen" w:pos="9072"/>
        </w:tabs>
        <w:spacing w:after="120"/>
        <w:ind w:left="567" w:hanging="567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Má-li správní rada jediného člena, je zároveň jejím předsedou.</w:t>
      </w:r>
      <w:r>
        <w:rPr>
          <w:sz w:val="24"/>
          <w:szCs w:val="24"/>
        </w:rPr>
        <w:tab/>
      </w:r>
    </w:p>
    <w:p w:rsidR="00B9786C" w:rsidRDefault="00B9786C" w:rsidP="00B9786C">
      <w:pPr>
        <w:numPr>
          <w:ilvl w:val="0"/>
          <w:numId w:val="9"/>
        </w:numPr>
        <w:tabs>
          <w:tab w:val="left" w:pos="567"/>
          <w:tab w:val="left" w:pos="992"/>
          <w:tab w:val="right" w:leader="hyphen" w:pos="9072"/>
        </w:tabs>
        <w:spacing w:after="120"/>
        <w:ind w:left="567" w:hanging="567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Správní rada se řídí zásadami a pokyny schválenými valnou hromadou, pokud jsou v souladu s právními předpisy a stanovami. Nikdo však není oprávněn udělovat správní radě pokyny týkající se obchodního vedení nebo dohledu </w:t>
      </w:r>
      <w:proofErr w:type="gramStart"/>
      <w:r>
        <w:rPr>
          <w:sz w:val="24"/>
          <w:szCs w:val="24"/>
        </w:rPr>
        <w:t>nad</w:t>
      </w:r>
      <w:proofErr w:type="gramEnd"/>
      <w:r>
        <w:rPr>
          <w:sz w:val="24"/>
          <w:szCs w:val="24"/>
        </w:rPr>
        <w:t xml:space="preserve"> činností společnosti. Člen správní rady může požádat valnou hromadu o udělení pokynu týkajícího se obchodního vedení, tím není dotčena jeho povinnost jednat s péčí řádného hospodáře.</w:t>
      </w:r>
      <w:r>
        <w:rPr>
          <w:sz w:val="24"/>
          <w:szCs w:val="24"/>
        </w:rPr>
        <w:tab/>
      </w:r>
    </w:p>
    <w:p w:rsidR="00B9786C" w:rsidRDefault="00B9786C" w:rsidP="00B9786C">
      <w:pPr>
        <w:numPr>
          <w:ilvl w:val="0"/>
          <w:numId w:val="9"/>
        </w:numPr>
        <w:tabs>
          <w:tab w:val="left" w:pos="567"/>
          <w:tab w:val="left" w:pos="992"/>
          <w:tab w:val="right" w:leader="hyphen" w:pos="9072"/>
        </w:tabs>
        <w:spacing w:after="120"/>
        <w:ind w:left="567" w:hanging="567"/>
        <w:jc w:val="both"/>
        <w:outlineLvl w:val="1"/>
        <w:rPr>
          <w:sz w:val="24"/>
          <w:szCs w:val="24"/>
        </w:rPr>
      </w:pPr>
      <w:bookmarkStart w:id="0" w:name="_Hlk66805587"/>
      <w:r>
        <w:rPr>
          <w:sz w:val="24"/>
          <w:szCs w:val="24"/>
        </w:rPr>
        <w:t xml:space="preserve">Člen správní rady může ze své funkce odstoupit. Výkon funkce končí dnem, kdy odstoupení projednal nebo </w:t>
      </w:r>
      <w:proofErr w:type="gramStart"/>
      <w:r>
        <w:rPr>
          <w:sz w:val="24"/>
          <w:szCs w:val="24"/>
        </w:rPr>
        <w:t>měl</w:t>
      </w:r>
      <w:proofErr w:type="gramEnd"/>
      <w:r>
        <w:rPr>
          <w:sz w:val="24"/>
          <w:szCs w:val="24"/>
        </w:rPr>
        <w:t xml:space="preserve"> projednat orgán, který jej zvolil. Valná hromada je povinna projednat odstoupení bez zbytečného odkladu, nejpozději však </w:t>
      </w:r>
      <w:proofErr w:type="gramStart"/>
      <w:r>
        <w:rPr>
          <w:sz w:val="24"/>
          <w:szCs w:val="24"/>
        </w:rPr>
        <w:t>na</w:t>
      </w:r>
      <w:proofErr w:type="gramEnd"/>
      <w:r>
        <w:rPr>
          <w:sz w:val="24"/>
          <w:szCs w:val="24"/>
        </w:rPr>
        <w:t xml:space="preserve"> nejbližším zasedání poté, co bylo odstoupení společnosti doručeno. Odstupující člen, který nebyl zvolen valnou hromadou, oznámí své odstoupení správní radě a jeho funkce končí dnem, kdy odstoupení projednala nebo měla projednat správní rada. Jestliže odstupující člen oznámí své odstoupení </w:t>
      </w:r>
      <w:proofErr w:type="gramStart"/>
      <w:r>
        <w:rPr>
          <w:sz w:val="24"/>
          <w:szCs w:val="24"/>
        </w:rPr>
        <w:t>na</w:t>
      </w:r>
      <w:proofErr w:type="gramEnd"/>
      <w:r>
        <w:rPr>
          <w:sz w:val="24"/>
          <w:szCs w:val="24"/>
        </w:rPr>
        <w:t xml:space="preserve"> zasedání příslušného orgánu, končí výkon funkce uplynutím 2 (dvou) měsíců po takovém oznámení, neschválí-li příslušný orgán na jeho žádost jiný okamžik zániku funkce. Vykonává-li působnost valné hromady jediný akcionář, končí výkon funkce uplynutím 2 (dvou) měsíců ode dne doručení oznámení </w:t>
      </w:r>
      <w:r>
        <w:rPr>
          <w:sz w:val="24"/>
          <w:szCs w:val="24"/>
        </w:rPr>
        <w:lastRenderedPageBreak/>
        <w:t xml:space="preserve">odstoupení jedinému akcionáři, neschválí-li </w:t>
      </w:r>
      <w:proofErr w:type="gramStart"/>
      <w:r>
        <w:rPr>
          <w:sz w:val="24"/>
          <w:szCs w:val="24"/>
        </w:rPr>
        <w:t>na</w:t>
      </w:r>
      <w:proofErr w:type="gramEnd"/>
      <w:r>
        <w:rPr>
          <w:sz w:val="24"/>
          <w:szCs w:val="24"/>
        </w:rPr>
        <w:t xml:space="preserve"> žádost odstupujícího člena jiný okamžik zániku funkce. Funkce člena správní rady zaniká také, je-li za něj zvolen nový člen</w:t>
      </w:r>
      <w:bookmarkEnd w:id="0"/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</w:p>
    <w:p w:rsidR="00B9786C" w:rsidRDefault="00B9786C" w:rsidP="00B9786C">
      <w:pPr>
        <w:numPr>
          <w:ilvl w:val="0"/>
          <w:numId w:val="9"/>
        </w:numPr>
        <w:tabs>
          <w:tab w:val="clear" w:pos="720"/>
          <w:tab w:val="right" w:leader="hyphen" w:pos="9072"/>
        </w:tabs>
        <w:spacing w:after="120"/>
        <w:ind w:left="567" w:hanging="567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Člen správní rady plní informační povinnost vůči valné hromadě. Za účelem splnění informační povinnosti je povinen bezodkladně požádat předsedu správní rady o její svolání nebo ji sám svolat, je-li současně jejím předsedou.</w:t>
      </w:r>
      <w:r>
        <w:rPr>
          <w:sz w:val="24"/>
          <w:szCs w:val="24"/>
        </w:rPr>
        <w:tab/>
      </w:r>
    </w:p>
    <w:p w:rsidR="00B9786C" w:rsidRDefault="00B9786C" w:rsidP="00B9786C">
      <w:pPr>
        <w:numPr>
          <w:ilvl w:val="0"/>
          <w:numId w:val="9"/>
        </w:numPr>
        <w:tabs>
          <w:tab w:val="left" w:pos="567"/>
          <w:tab w:val="left" w:pos="992"/>
          <w:tab w:val="right" w:leader="hyphen" w:pos="9072"/>
        </w:tabs>
        <w:spacing w:after="120"/>
        <w:ind w:left="567" w:hanging="567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Zasedání správní rady se koná v sídle společnosti, ledaže by se správní rada usnesla </w:t>
      </w:r>
      <w:proofErr w:type="gramStart"/>
      <w:r>
        <w:rPr>
          <w:sz w:val="24"/>
          <w:szCs w:val="24"/>
        </w:rPr>
        <w:t>na</w:t>
      </w:r>
      <w:proofErr w:type="gramEnd"/>
      <w:r>
        <w:rPr>
          <w:sz w:val="24"/>
          <w:szCs w:val="24"/>
        </w:rPr>
        <w:t xml:space="preserve"> svém předchozím zasedání jinak. Zasedání správní rady se svolává písemnou nebo elektronickou pozvánkou, v níž uvede místo, datum, dobu zasedání a pořad jeho jednání. Pozvánka musí být doručena nejméně 7 (sedm) dnů před konáním zasedání a spolu s ní i podklady, které mají být správní radou projednány. Hrozí-li nebezpečí z prodlení, lze tuto lhůtu zkrátit v nezbytně nutném rozsahu. </w:t>
      </w:r>
      <w:r>
        <w:rPr>
          <w:sz w:val="24"/>
          <w:szCs w:val="24"/>
        </w:rPr>
        <w:tab/>
      </w:r>
    </w:p>
    <w:p w:rsidR="00B9786C" w:rsidRDefault="00B9786C" w:rsidP="00B9786C">
      <w:pPr>
        <w:numPr>
          <w:ilvl w:val="0"/>
          <w:numId w:val="9"/>
        </w:numPr>
        <w:tabs>
          <w:tab w:val="left" w:pos="567"/>
          <w:tab w:val="left" w:pos="992"/>
          <w:tab w:val="right" w:leader="hyphen" w:pos="9072"/>
        </w:tabs>
        <w:spacing w:after="120"/>
        <w:ind w:left="567" w:hanging="567"/>
        <w:jc w:val="both"/>
        <w:outlineLvl w:val="1"/>
        <w:rPr>
          <w:sz w:val="24"/>
          <w:szCs w:val="24"/>
        </w:rPr>
      </w:pPr>
      <w:r>
        <w:rPr>
          <w:sz w:val="24"/>
        </w:rPr>
        <w:t xml:space="preserve">Správní rada je schopna usnášení, je-li přítomna většina členů správní rady. Správní rada rozhoduje většinou přítomných členů správní rady. Každý člen správní rady má 1 (jeden) hlas. </w:t>
      </w:r>
      <w:r>
        <w:rPr>
          <w:sz w:val="24"/>
        </w:rPr>
        <w:tab/>
      </w:r>
    </w:p>
    <w:p w:rsidR="00B9786C" w:rsidRDefault="00B9786C" w:rsidP="00B9786C">
      <w:pPr>
        <w:numPr>
          <w:ilvl w:val="0"/>
          <w:numId w:val="9"/>
        </w:numPr>
        <w:tabs>
          <w:tab w:val="left" w:pos="567"/>
          <w:tab w:val="left" w:pos="992"/>
          <w:tab w:val="right" w:leader="hyphen" w:pos="9072"/>
        </w:tabs>
        <w:spacing w:after="120"/>
        <w:ind w:left="567" w:hanging="567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Správní rada se může usnášet i mimo zasedání správní rady, pokud s tím souhlasí všichni členové správní rady. V takovém případě se připouští i písemné hlasování nebo hlasování s využitím technických prostředků. Hlasující členové se pak považují za přítomné osoby.</w:t>
      </w:r>
    </w:p>
    <w:p w:rsidR="00F93723" w:rsidRDefault="00B9786C" w:rsidP="00F93723">
      <w:pPr>
        <w:numPr>
          <w:ilvl w:val="0"/>
          <w:numId w:val="9"/>
        </w:numPr>
        <w:tabs>
          <w:tab w:val="left" w:pos="567"/>
          <w:tab w:val="left" w:pos="992"/>
          <w:tab w:val="right" w:leader="hyphen" w:pos="9072"/>
        </w:tabs>
        <w:spacing w:after="120"/>
        <w:ind w:left="567" w:hanging="567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Je-li členem správní rady právnická osoba, nestává se její právní nástupce členem správní rady.</w:t>
      </w:r>
      <w:r>
        <w:rPr>
          <w:sz w:val="24"/>
          <w:szCs w:val="24"/>
        </w:rPr>
        <w:tab/>
      </w:r>
      <w:r w:rsidR="00F93723">
        <w:rPr>
          <w:sz w:val="24"/>
          <w:szCs w:val="24"/>
        </w:rPr>
        <w:t xml:space="preserve"> </w:t>
      </w:r>
    </w:p>
    <w:p w:rsidR="00F93723" w:rsidRDefault="00B9786C" w:rsidP="00F93723">
      <w:pPr>
        <w:numPr>
          <w:ilvl w:val="0"/>
          <w:numId w:val="9"/>
        </w:numPr>
        <w:tabs>
          <w:tab w:val="left" w:pos="567"/>
          <w:tab w:val="left" w:pos="992"/>
          <w:tab w:val="right" w:leader="hyphen" w:pos="9072"/>
        </w:tabs>
        <w:spacing w:after="120"/>
        <w:ind w:left="567" w:hanging="567"/>
        <w:jc w:val="both"/>
        <w:outlineLvl w:val="1"/>
        <w:rPr>
          <w:sz w:val="24"/>
          <w:szCs w:val="24"/>
        </w:rPr>
      </w:pPr>
      <w:r w:rsidRPr="00F93723">
        <w:rPr>
          <w:sz w:val="24"/>
          <w:szCs w:val="24"/>
        </w:rPr>
        <w:t>Správní rada bez zbytečného odkladu projedná informaci o hrozícím konfliktu zájmů, o záměru uzavřít smlouvu se společností nebo o tom, že společnost má zajistit nebo utvrdit dluh nebo se má stát spoludlužníkem osob, a to za podmínek stanovených zákonem o obchodních korporacích a přijme nezbytná opatření s cílem zabránit možnému poškození zájmů společnosti. Správní rada informuje nejbližší valnou hromadu o projednání podané informace a případných přijatých opatření. K projednání informace a přijetí potřebných opatření svolá správní rada neprodleně valnou hromadu, vyžadují-li to zájmy společnosti.</w:t>
      </w:r>
      <w:r w:rsidR="00F93723">
        <w:rPr>
          <w:sz w:val="24"/>
          <w:szCs w:val="24"/>
        </w:rPr>
        <w:t xml:space="preserve"> </w:t>
      </w:r>
    </w:p>
    <w:p w:rsidR="00B9786C" w:rsidRPr="00F93723" w:rsidRDefault="00F93723" w:rsidP="00F93723">
      <w:pPr>
        <w:tabs>
          <w:tab w:val="left" w:pos="567"/>
          <w:tab w:val="left" w:pos="992"/>
          <w:tab w:val="right" w:leader="hyphen" w:pos="9072"/>
        </w:tabs>
        <w:spacing w:after="120"/>
        <w:ind w:left="567"/>
        <w:jc w:val="both"/>
        <w:outlineLvl w:val="1"/>
        <w:rPr>
          <w:sz w:val="24"/>
          <w:szCs w:val="24"/>
          <w:highlight w:val="yellow"/>
        </w:rPr>
      </w:pPr>
      <w:r>
        <w:rPr>
          <w:sz w:val="24"/>
          <w:szCs w:val="24"/>
        </w:rPr>
        <w:t>13</w:t>
      </w:r>
      <w:proofErr w:type="gramStart"/>
      <w:r>
        <w:rPr>
          <w:sz w:val="24"/>
          <w:szCs w:val="24"/>
        </w:rPr>
        <w:t>.</w:t>
      </w:r>
      <w:r w:rsidR="00B9786C" w:rsidRPr="00F93723">
        <w:rPr>
          <w:sz w:val="24"/>
          <w:szCs w:val="24"/>
        </w:rPr>
        <w:t>Na</w:t>
      </w:r>
      <w:proofErr w:type="gramEnd"/>
      <w:r w:rsidR="00B9786C" w:rsidRPr="00F93723">
        <w:rPr>
          <w:sz w:val="24"/>
          <w:szCs w:val="24"/>
        </w:rPr>
        <w:t xml:space="preserve"> člena správní rady se nevztahuje zákaz konkurence, pokud dané činnosti vykonává ve společnostech, v nichž vlastní podíl on sám nebo jím ovládaná osoba.</w:t>
      </w:r>
      <w:r w:rsidR="00B9786C" w:rsidRPr="00F93723">
        <w:rPr>
          <w:strike/>
          <w:sz w:val="24"/>
          <w:szCs w:val="24"/>
        </w:rPr>
        <w:t xml:space="preserve"> </w:t>
      </w:r>
      <w:r w:rsidR="00B9786C" w:rsidRPr="00F93723">
        <w:rPr>
          <w:strike/>
          <w:sz w:val="24"/>
          <w:szCs w:val="24"/>
        </w:rPr>
        <w:tab/>
      </w:r>
    </w:p>
    <w:p w:rsidR="00B9786C" w:rsidRDefault="00B9786C" w:rsidP="00B9786C">
      <w:pPr>
        <w:tabs>
          <w:tab w:val="left" w:pos="567"/>
          <w:tab w:val="left" w:pos="992"/>
          <w:tab w:val="right" w:leader="hyphen" w:pos="9072"/>
        </w:tabs>
        <w:ind w:left="142"/>
        <w:jc w:val="center"/>
        <w:rPr>
          <w:b/>
          <w:sz w:val="24"/>
          <w:szCs w:val="24"/>
        </w:rPr>
      </w:pPr>
    </w:p>
    <w:p w:rsidR="00B9786C" w:rsidRDefault="00B9786C" w:rsidP="00B9786C">
      <w:pPr>
        <w:tabs>
          <w:tab w:val="left" w:pos="567"/>
          <w:tab w:val="left" w:pos="992"/>
          <w:tab w:val="right" w:leader="hyphen" w:pos="9072"/>
        </w:tabs>
        <w:ind w:left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Čl. 9</w:t>
      </w:r>
    </w:p>
    <w:p w:rsidR="00B9786C" w:rsidRDefault="00B9786C" w:rsidP="00B9786C">
      <w:pPr>
        <w:tabs>
          <w:tab w:val="left" w:pos="567"/>
          <w:tab w:val="left" w:pos="992"/>
          <w:tab w:val="right" w:leader="hyphen" w:pos="9072"/>
        </w:tabs>
        <w:spacing w:after="120"/>
        <w:ind w:left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JEDNÁNÍ ZA SPOLEČNOST</w:t>
      </w:r>
    </w:p>
    <w:p w:rsidR="00B9786C" w:rsidRDefault="00B9786C" w:rsidP="00B9786C">
      <w:pPr>
        <w:numPr>
          <w:ilvl w:val="0"/>
          <w:numId w:val="10"/>
        </w:numPr>
        <w:tabs>
          <w:tab w:val="left" w:pos="567"/>
          <w:tab w:val="left" w:pos="992"/>
          <w:tab w:val="right" w:leader="hyphen" w:pos="9072"/>
        </w:tabs>
        <w:spacing w:after="120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Za společnost jedná vůči třetím osobám, před soudy a před jinými orgány ve všech záležitostech týkajících se společnosti předseda správní rady samostatně.</w:t>
      </w:r>
      <w:r>
        <w:rPr>
          <w:sz w:val="24"/>
          <w:szCs w:val="24"/>
        </w:rPr>
        <w:tab/>
      </w:r>
    </w:p>
    <w:p w:rsidR="00B9786C" w:rsidRDefault="00B9786C" w:rsidP="00B9786C">
      <w:pPr>
        <w:numPr>
          <w:ilvl w:val="0"/>
          <w:numId w:val="10"/>
        </w:numPr>
        <w:tabs>
          <w:tab w:val="left" w:pos="567"/>
          <w:tab w:val="left" w:pos="992"/>
          <w:tab w:val="right" w:leader="hyphen" w:pos="9072"/>
        </w:tabs>
        <w:spacing w:after="120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Podepisování za společnost se děje tak, že k vytištěné či nadepsané obchodní firmě společnosti, nebo otisku jejího razítka, připojí svůj podpis předseda správní rady.</w:t>
      </w:r>
      <w:r>
        <w:rPr>
          <w:sz w:val="24"/>
          <w:szCs w:val="24"/>
        </w:rPr>
        <w:tab/>
      </w:r>
    </w:p>
    <w:p w:rsidR="00B9786C" w:rsidRDefault="00B9786C" w:rsidP="00B9786C">
      <w:pPr>
        <w:tabs>
          <w:tab w:val="left" w:pos="567"/>
          <w:tab w:val="left" w:pos="992"/>
          <w:tab w:val="right" w:leader="hyphen" w:pos="9072"/>
        </w:tabs>
        <w:jc w:val="both"/>
        <w:rPr>
          <w:sz w:val="24"/>
          <w:szCs w:val="24"/>
        </w:rPr>
      </w:pPr>
    </w:p>
    <w:p w:rsidR="00B9786C" w:rsidRDefault="00B9786C" w:rsidP="00B9786C">
      <w:pPr>
        <w:tabs>
          <w:tab w:val="left" w:pos="567"/>
          <w:tab w:val="left" w:pos="992"/>
          <w:tab w:val="left" w:pos="4395"/>
          <w:tab w:val="right" w:leader="hyphen" w:pos="9072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Čl. 10</w:t>
      </w:r>
    </w:p>
    <w:p w:rsidR="00B9786C" w:rsidRDefault="00B9786C" w:rsidP="00B9786C">
      <w:pPr>
        <w:tabs>
          <w:tab w:val="left" w:pos="567"/>
          <w:tab w:val="left" w:pos="992"/>
          <w:tab w:val="right" w:leader="hyphen" w:pos="9072"/>
        </w:tabs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ZMĚNY ZÁKLADNÍHO KAPITÁLU</w:t>
      </w:r>
    </w:p>
    <w:p w:rsidR="00B9786C" w:rsidRDefault="00B9786C" w:rsidP="00B9786C">
      <w:pPr>
        <w:numPr>
          <w:ilvl w:val="0"/>
          <w:numId w:val="11"/>
        </w:numPr>
        <w:tabs>
          <w:tab w:val="left" w:pos="567"/>
          <w:tab w:val="left" w:pos="992"/>
          <w:tab w:val="right" w:leader="hyphen" w:pos="9072"/>
        </w:tabs>
        <w:spacing w:after="120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Zvýšení základního kapitálu lze provést:</w:t>
      </w:r>
      <w:r>
        <w:rPr>
          <w:sz w:val="24"/>
          <w:szCs w:val="24"/>
        </w:rPr>
        <w:tab/>
      </w:r>
    </w:p>
    <w:p w:rsidR="00B9786C" w:rsidRDefault="00B9786C" w:rsidP="00B9786C">
      <w:pPr>
        <w:numPr>
          <w:ilvl w:val="2"/>
          <w:numId w:val="12"/>
        </w:numPr>
        <w:tabs>
          <w:tab w:val="left" w:pos="567"/>
          <w:tab w:val="left" w:pos="992"/>
          <w:tab w:val="right" w:leader="hyphen" w:pos="9072"/>
        </w:tabs>
        <w:ind w:left="1134" w:hanging="567"/>
        <w:jc w:val="both"/>
        <w:rPr>
          <w:sz w:val="24"/>
          <w:szCs w:val="24"/>
        </w:rPr>
      </w:pPr>
      <w:r>
        <w:rPr>
          <w:sz w:val="24"/>
          <w:szCs w:val="24"/>
        </w:rPr>
        <w:t>upsáním nových akcií;</w:t>
      </w:r>
      <w:r>
        <w:rPr>
          <w:sz w:val="24"/>
          <w:szCs w:val="24"/>
        </w:rPr>
        <w:tab/>
      </w:r>
    </w:p>
    <w:p w:rsidR="00B9786C" w:rsidRDefault="00B9786C" w:rsidP="00B9786C">
      <w:pPr>
        <w:numPr>
          <w:ilvl w:val="2"/>
          <w:numId w:val="12"/>
        </w:numPr>
        <w:tabs>
          <w:tab w:val="left" w:pos="567"/>
          <w:tab w:val="left" w:pos="992"/>
          <w:tab w:val="right" w:leader="hyphen" w:pos="9072"/>
        </w:tabs>
        <w:ind w:left="1134" w:hanging="567"/>
        <w:jc w:val="both"/>
        <w:rPr>
          <w:sz w:val="24"/>
          <w:szCs w:val="24"/>
        </w:rPr>
      </w:pPr>
      <w:r>
        <w:rPr>
          <w:sz w:val="24"/>
          <w:szCs w:val="24"/>
        </w:rPr>
        <w:t>podmíněně;</w:t>
      </w:r>
      <w:r>
        <w:rPr>
          <w:sz w:val="24"/>
          <w:szCs w:val="24"/>
        </w:rPr>
        <w:tab/>
      </w:r>
    </w:p>
    <w:p w:rsidR="00B9786C" w:rsidRDefault="00B9786C" w:rsidP="00B9786C">
      <w:pPr>
        <w:numPr>
          <w:ilvl w:val="2"/>
          <w:numId w:val="12"/>
        </w:numPr>
        <w:tabs>
          <w:tab w:val="left" w:pos="567"/>
          <w:tab w:val="left" w:pos="992"/>
          <w:tab w:val="right" w:leader="hyphen" w:pos="9072"/>
        </w:tabs>
        <w:ind w:left="1134" w:hanging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z</w:t>
      </w:r>
      <w:proofErr w:type="gramEnd"/>
      <w:r>
        <w:rPr>
          <w:sz w:val="24"/>
          <w:szCs w:val="24"/>
        </w:rPr>
        <w:t> vlastních zdrojů společnosti.</w:t>
      </w:r>
      <w:r>
        <w:rPr>
          <w:sz w:val="24"/>
          <w:szCs w:val="24"/>
        </w:rPr>
        <w:tab/>
      </w:r>
    </w:p>
    <w:p w:rsidR="00B9786C" w:rsidRDefault="00B9786C" w:rsidP="00B9786C">
      <w:pPr>
        <w:tabs>
          <w:tab w:val="left" w:pos="567"/>
          <w:tab w:val="left" w:pos="992"/>
          <w:tab w:val="right" w:leader="hyphen" w:pos="9072"/>
        </w:tabs>
        <w:spacing w:after="120"/>
        <w:ind w:left="1134"/>
        <w:jc w:val="both"/>
        <w:rPr>
          <w:sz w:val="24"/>
          <w:szCs w:val="24"/>
        </w:rPr>
      </w:pPr>
    </w:p>
    <w:p w:rsidR="00B9786C" w:rsidRDefault="00B9786C" w:rsidP="00B9786C">
      <w:pPr>
        <w:numPr>
          <w:ilvl w:val="0"/>
          <w:numId w:val="11"/>
        </w:numPr>
        <w:tabs>
          <w:tab w:val="left" w:pos="567"/>
          <w:tab w:val="left" w:pos="992"/>
          <w:tab w:val="right" w:leader="hyphen" w:pos="9072"/>
        </w:tabs>
        <w:spacing w:after="120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Každý akcionář má přednostní právo upsat část nových akcií společnosti upisovaných ke zvýšení základního kapitálu v poměru jmenovité hodnoty jeho akcií k základnímu kapitálu, má-li být jejich emisní kurs splácen v penězích. </w:t>
      </w:r>
      <w:r>
        <w:rPr>
          <w:sz w:val="24"/>
          <w:szCs w:val="24"/>
        </w:rPr>
        <w:tab/>
      </w:r>
    </w:p>
    <w:p w:rsidR="00B9786C" w:rsidRDefault="00B9786C" w:rsidP="00B9786C">
      <w:pPr>
        <w:numPr>
          <w:ilvl w:val="0"/>
          <w:numId w:val="11"/>
        </w:numPr>
        <w:tabs>
          <w:tab w:val="left" w:pos="567"/>
          <w:tab w:val="left" w:pos="992"/>
          <w:tab w:val="right" w:leader="hyphen" w:pos="9072"/>
        </w:tabs>
        <w:spacing w:after="120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Návrh </w:t>
      </w:r>
      <w:proofErr w:type="gramStart"/>
      <w:r>
        <w:rPr>
          <w:sz w:val="24"/>
          <w:szCs w:val="24"/>
        </w:rPr>
        <w:t>na</w:t>
      </w:r>
      <w:proofErr w:type="gramEnd"/>
      <w:r>
        <w:rPr>
          <w:sz w:val="24"/>
          <w:szCs w:val="24"/>
        </w:rPr>
        <w:t xml:space="preserve"> zápis zvýšení základního kapitálu do obchodního rejstříku musí být podán do 2 (dvou) měsíců poté, co byly splněny předpoklady pro zápis zvýšení základního kapitálu do obchodního rejstříku.</w:t>
      </w:r>
      <w:r>
        <w:rPr>
          <w:sz w:val="24"/>
          <w:szCs w:val="24"/>
        </w:rPr>
        <w:tab/>
      </w:r>
    </w:p>
    <w:p w:rsidR="00B9786C" w:rsidRDefault="00B9786C" w:rsidP="00B9786C">
      <w:pPr>
        <w:numPr>
          <w:ilvl w:val="0"/>
          <w:numId w:val="11"/>
        </w:numPr>
        <w:tabs>
          <w:tab w:val="left" w:pos="567"/>
          <w:tab w:val="left" w:pos="992"/>
          <w:tab w:val="right" w:leader="hyphen" w:pos="9072"/>
        </w:tabs>
        <w:spacing w:after="120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Snížení základního kapitálu lze provést:</w:t>
      </w:r>
      <w:r>
        <w:rPr>
          <w:sz w:val="24"/>
          <w:szCs w:val="24"/>
        </w:rPr>
        <w:tab/>
      </w:r>
    </w:p>
    <w:p w:rsidR="00B9786C" w:rsidRDefault="00B9786C" w:rsidP="00B9786C">
      <w:pPr>
        <w:tabs>
          <w:tab w:val="left" w:pos="567"/>
          <w:tab w:val="left" w:pos="851"/>
          <w:tab w:val="left" w:pos="992"/>
          <w:tab w:val="right" w:leader="hyphen" w:pos="9072"/>
        </w:tabs>
        <w:autoSpaceDE w:val="0"/>
        <w:autoSpaceDN w:val="0"/>
        <w:adjustRightInd w:val="0"/>
        <w:spacing w:after="120"/>
        <w:ind w:left="284" w:firstLine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a)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proofErr w:type="gramStart"/>
      <w:r>
        <w:rPr>
          <w:color w:val="000000"/>
          <w:sz w:val="24"/>
          <w:szCs w:val="24"/>
        </w:rPr>
        <w:t>za</w:t>
      </w:r>
      <w:proofErr w:type="gramEnd"/>
      <w:r>
        <w:rPr>
          <w:color w:val="000000"/>
          <w:sz w:val="24"/>
          <w:szCs w:val="24"/>
        </w:rPr>
        <w:t xml:space="preserve"> použití vlastních akcií společnosti;</w:t>
      </w:r>
      <w:r>
        <w:rPr>
          <w:color w:val="000000"/>
          <w:sz w:val="24"/>
          <w:szCs w:val="24"/>
        </w:rPr>
        <w:tab/>
      </w:r>
    </w:p>
    <w:p w:rsidR="00B9786C" w:rsidRDefault="00B9786C" w:rsidP="00B9786C">
      <w:pPr>
        <w:tabs>
          <w:tab w:val="left" w:pos="567"/>
          <w:tab w:val="left" w:pos="992"/>
          <w:tab w:val="right" w:leader="hyphen" w:pos="9072"/>
        </w:tabs>
        <w:autoSpaceDE w:val="0"/>
        <w:autoSpaceDN w:val="0"/>
        <w:adjustRightInd w:val="0"/>
        <w:spacing w:after="120"/>
        <w:ind w:left="284" w:firstLine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b) </w:t>
      </w:r>
      <w:r>
        <w:rPr>
          <w:color w:val="000000"/>
          <w:sz w:val="24"/>
          <w:szCs w:val="24"/>
        </w:rPr>
        <w:tab/>
      </w:r>
      <w:proofErr w:type="gramStart"/>
      <w:r>
        <w:rPr>
          <w:color w:val="000000"/>
          <w:sz w:val="24"/>
          <w:szCs w:val="24"/>
        </w:rPr>
        <w:t>snížením</w:t>
      </w:r>
      <w:proofErr w:type="gramEnd"/>
      <w:r>
        <w:rPr>
          <w:color w:val="000000"/>
          <w:sz w:val="24"/>
          <w:szCs w:val="24"/>
        </w:rPr>
        <w:t xml:space="preserve"> jmenovité hodnoty akcií anebo zatímních listů;</w:t>
      </w:r>
      <w:r>
        <w:rPr>
          <w:color w:val="000000"/>
          <w:sz w:val="24"/>
          <w:szCs w:val="24"/>
        </w:rPr>
        <w:tab/>
      </w:r>
    </w:p>
    <w:p w:rsidR="00B9786C" w:rsidRDefault="00B9786C" w:rsidP="00B9786C">
      <w:pPr>
        <w:tabs>
          <w:tab w:val="left" w:pos="567"/>
          <w:tab w:val="left" w:pos="992"/>
          <w:tab w:val="right" w:leader="hyphen" w:pos="9072"/>
        </w:tabs>
        <w:autoSpaceDE w:val="0"/>
        <w:autoSpaceDN w:val="0"/>
        <w:adjustRightInd w:val="0"/>
        <w:spacing w:after="120"/>
        <w:ind w:left="284" w:firstLine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c) </w:t>
      </w:r>
      <w:r>
        <w:rPr>
          <w:color w:val="000000"/>
          <w:sz w:val="24"/>
          <w:szCs w:val="24"/>
        </w:rPr>
        <w:tab/>
      </w:r>
      <w:proofErr w:type="gramStart"/>
      <w:r>
        <w:rPr>
          <w:color w:val="000000"/>
          <w:sz w:val="24"/>
          <w:szCs w:val="24"/>
        </w:rPr>
        <w:t>vzetím</w:t>
      </w:r>
      <w:proofErr w:type="gramEnd"/>
      <w:r>
        <w:rPr>
          <w:color w:val="000000"/>
          <w:sz w:val="24"/>
          <w:szCs w:val="24"/>
        </w:rPr>
        <w:t xml:space="preserve"> akcií z oběhu na základě smlouvy;</w:t>
      </w:r>
      <w:r>
        <w:rPr>
          <w:color w:val="000000"/>
          <w:sz w:val="24"/>
          <w:szCs w:val="24"/>
        </w:rPr>
        <w:tab/>
      </w:r>
    </w:p>
    <w:p w:rsidR="00B9786C" w:rsidRDefault="00B9786C" w:rsidP="00B9786C">
      <w:pPr>
        <w:tabs>
          <w:tab w:val="left" w:pos="567"/>
          <w:tab w:val="left" w:pos="992"/>
          <w:tab w:val="left" w:pos="3686"/>
          <w:tab w:val="right" w:leader="hyphen" w:pos="9072"/>
        </w:tabs>
        <w:autoSpaceDE w:val="0"/>
        <w:autoSpaceDN w:val="0"/>
        <w:adjustRightInd w:val="0"/>
        <w:spacing w:after="120"/>
        <w:ind w:left="284" w:firstLine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d) </w:t>
      </w:r>
      <w:r>
        <w:rPr>
          <w:color w:val="000000"/>
          <w:sz w:val="24"/>
          <w:szCs w:val="24"/>
        </w:rPr>
        <w:tab/>
      </w:r>
      <w:proofErr w:type="gramStart"/>
      <w:r>
        <w:rPr>
          <w:color w:val="000000"/>
          <w:sz w:val="24"/>
          <w:szCs w:val="24"/>
        </w:rPr>
        <w:t>upuštěním</w:t>
      </w:r>
      <w:proofErr w:type="gramEnd"/>
      <w:r>
        <w:rPr>
          <w:color w:val="000000"/>
          <w:sz w:val="24"/>
          <w:szCs w:val="24"/>
        </w:rPr>
        <w:t xml:space="preserve"> od vydání akcií.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:rsidR="00B9786C" w:rsidRDefault="00B9786C" w:rsidP="00B9786C">
      <w:pPr>
        <w:tabs>
          <w:tab w:val="left" w:pos="567"/>
          <w:tab w:val="left" w:pos="992"/>
          <w:tab w:val="right" w:leader="hyphen" w:pos="9072"/>
        </w:tabs>
        <w:autoSpaceDE w:val="0"/>
        <w:autoSpaceDN w:val="0"/>
        <w:adjustRightInd w:val="0"/>
        <w:spacing w:after="120"/>
        <w:ind w:left="141"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Snížení základního kapitálu vzetím akcií z oběhu </w:t>
      </w:r>
      <w:proofErr w:type="gramStart"/>
      <w:r>
        <w:rPr>
          <w:color w:val="000000"/>
          <w:sz w:val="24"/>
          <w:szCs w:val="24"/>
        </w:rPr>
        <w:t>na</w:t>
      </w:r>
      <w:proofErr w:type="gramEnd"/>
      <w:r>
        <w:rPr>
          <w:color w:val="000000"/>
          <w:sz w:val="24"/>
          <w:szCs w:val="24"/>
        </w:rPr>
        <w:t xml:space="preserve"> základě losování se nepřipouští.</w:t>
      </w:r>
      <w:r>
        <w:rPr>
          <w:color w:val="000000"/>
          <w:sz w:val="24"/>
          <w:szCs w:val="24"/>
        </w:rPr>
        <w:tab/>
        <w:t xml:space="preserve"> </w:t>
      </w:r>
    </w:p>
    <w:p w:rsidR="00B9786C" w:rsidRDefault="00B9786C" w:rsidP="00B9786C">
      <w:pPr>
        <w:numPr>
          <w:ilvl w:val="0"/>
          <w:numId w:val="11"/>
        </w:numPr>
        <w:tabs>
          <w:tab w:val="left" w:pos="567"/>
          <w:tab w:val="left" w:pos="992"/>
          <w:tab w:val="right" w:leader="hyphen" w:pos="9072"/>
        </w:tabs>
        <w:autoSpaceDE w:val="0"/>
        <w:autoSpaceDN w:val="0"/>
        <w:adjustRightInd w:val="0"/>
        <w:spacing w:after="120"/>
        <w:ind w:left="567" w:hanging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 způsobu vzetí akcií z oběhu </w:t>
      </w:r>
      <w:proofErr w:type="gramStart"/>
      <w:r>
        <w:rPr>
          <w:color w:val="000000"/>
          <w:sz w:val="24"/>
          <w:szCs w:val="24"/>
        </w:rPr>
        <w:t>na</w:t>
      </w:r>
      <w:proofErr w:type="gramEnd"/>
      <w:r>
        <w:rPr>
          <w:color w:val="000000"/>
          <w:sz w:val="24"/>
          <w:szCs w:val="24"/>
        </w:rPr>
        <w:t xml:space="preserve"> základě smlouvy rozhodne valná hromada. Rozhodnutí valné hromady může určit, že základní kapitál bude snížen v rozsahu jmenovitých hodnot akcií, které budou vzaty z oběhu, nebo že bude snížen o pevnou částku. Snížení základního kapitálu vzetím akcií z oběhu </w:t>
      </w:r>
      <w:proofErr w:type="gramStart"/>
      <w:r>
        <w:rPr>
          <w:color w:val="000000"/>
          <w:sz w:val="24"/>
          <w:szCs w:val="24"/>
        </w:rPr>
        <w:t>na</w:t>
      </w:r>
      <w:proofErr w:type="gramEnd"/>
      <w:r>
        <w:rPr>
          <w:color w:val="000000"/>
          <w:sz w:val="24"/>
          <w:szCs w:val="24"/>
        </w:rPr>
        <w:t xml:space="preserve"> základě smlouvy se provede v souladu se zákonem o obchodních korporacích.</w:t>
      </w:r>
      <w:r>
        <w:rPr>
          <w:color w:val="000000"/>
          <w:sz w:val="24"/>
          <w:szCs w:val="24"/>
        </w:rPr>
        <w:tab/>
      </w:r>
    </w:p>
    <w:p w:rsidR="00B9786C" w:rsidRDefault="00B9786C" w:rsidP="00B9786C">
      <w:pPr>
        <w:tabs>
          <w:tab w:val="left" w:pos="567"/>
          <w:tab w:val="left" w:pos="992"/>
          <w:tab w:val="right" w:leader="hyphen" w:pos="9072"/>
        </w:tabs>
        <w:autoSpaceDE w:val="0"/>
        <w:autoSpaceDN w:val="0"/>
        <w:adjustRightInd w:val="0"/>
        <w:ind w:left="567"/>
        <w:jc w:val="both"/>
        <w:rPr>
          <w:color w:val="000000"/>
          <w:sz w:val="24"/>
          <w:szCs w:val="24"/>
        </w:rPr>
      </w:pPr>
    </w:p>
    <w:p w:rsidR="00B9786C" w:rsidRDefault="00B9786C" w:rsidP="00B9786C">
      <w:pPr>
        <w:tabs>
          <w:tab w:val="left" w:pos="567"/>
          <w:tab w:val="left" w:pos="992"/>
          <w:tab w:val="right" w:leader="hyphen" w:pos="9072"/>
        </w:tabs>
        <w:ind w:left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Čl. 11</w:t>
      </w:r>
    </w:p>
    <w:p w:rsidR="00B9786C" w:rsidRDefault="00B9786C" w:rsidP="00B9786C">
      <w:pPr>
        <w:tabs>
          <w:tab w:val="left" w:pos="567"/>
          <w:tab w:val="left" w:pos="992"/>
          <w:tab w:val="right" w:leader="hyphen" w:pos="9072"/>
        </w:tabs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FINANČNÍ ASISTENCE A VÝHODY PŘI ZAKLÁDÁNÍ SPOLEČNOSTI</w:t>
      </w:r>
    </w:p>
    <w:p w:rsidR="00B9786C" w:rsidRDefault="00B9786C" w:rsidP="00B9786C">
      <w:pPr>
        <w:numPr>
          <w:ilvl w:val="0"/>
          <w:numId w:val="13"/>
        </w:numPr>
        <w:tabs>
          <w:tab w:val="left" w:pos="567"/>
          <w:tab w:val="left" w:pos="992"/>
          <w:tab w:val="right" w:leader="hyphen" w:pos="9072"/>
        </w:tabs>
        <w:spacing w:after="120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Společnost je oprávněna poskytovat finanční asistenci za podmínek stanovených zákonem o obchodních korporacích.</w:t>
      </w:r>
      <w:r>
        <w:rPr>
          <w:sz w:val="24"/>
          <w:szCs w:val="24"/>
        </w:rPr>
        <w:tab/>
      </w:r>
    </w:p>
    <w:p w:rsidR="00B9786C" w:rsidRDefault="00B9786C" w:rsidP="00B9786C">
      <w:pPr>
        <w:numPr>
          <w:ilvl w:val="0"/>
          <w:numId w:val="13"/>
        </w:numPr>
        <w:tabs>
          <w:tab w:val="left" w:pos="567"/>
          <w:tab w:val="left" w:pos="992"/>
          <w:tab w:val="right" w:leader="hyphen" w:pos="9072"/>
        </w:tabs>
        <w:spacing w:after="120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V souvislosti se založením společnosti nebyla nikomu poskytnuta žádná zvláštní výhoda.</w:t>
      </w:r>
      <w:r>
        <w:rPr>
          <w:sz w:val="24"/>
          <w:szCs w:val="24"/>
        </w:rPr>
        <w:tab/>
      </w:r>
    </w:p>
    <w:p w:rsidR="00B9786C" w:rsidRDefault="00B9786C" w:rsidP="00B9786C">
      <w:pPr>
        <w:tabs>
          <w:tab w:val="left" w:pos="567"/>
          <w:tab w:val="left" w:pos="992"/>
          <w:tab w:val="left" w:leader="hyphen" w:pos="9072"/>
        </w:tabs>
        <w:ind w:left="142"/>
        <w:jc w:val="center"/>
        <w:rPr>
          <w:b/>
          <w:sz w:val="24"/>
        </w:rPr>
      </w:pPr>
      <w:r>
        <w:rPr>
          <w:b/>
          <w:sz w:val="24"/>
        </w:rPr>
        <w:t xml:space="preserve">Čl. </w:t>
      </w:r>
      <w:r>
        <w:rPr>
          <w:b/>
          <w:sz w:val="24"/>
          <w:szCs w:val="24"/>
        </w:rPr>
        <w:t>12</w:t>
      </w:r>
    </w:p>
    <w:p w:rsidR="00B9786C" w:rsidRDefault="00B9786C" w:rsidP="00B9786C">
      <w:pPr>
        <w:tabs>
          <w:tab w:val="left" w:pos="567"/>
          <w:tab w:val="left" w:pos="992"/>
        </w:tabs>
        <w:spacing w:after="120"/>
        <w:jc w:val="center"/>
        <w:rPr>
          <w:b/>
          <w:sz w:val="24"/>
        </w:rPr>
      </w:pPr>
      <w:r>
        <w:rPr>
          <w:b/>
          <w:sz w:val="24"/>
        </w:rPr>
        <w:t>PODŘÍZENÍ SE REKODIFIKACI</w:t>
      </w:r>
    </w:p>
    <w:p w:rsidR="00B9786C" w:rsidRDefault="00B9786C" w:rsidP="00B9786C">
      <w:pPr>
        <w:tabs>
          <w:tab w:val="right" w:leader="hyphen" w:pos="9072"/>
        </w:tabs>
        <w:jc w:val="both"/>
        <w:rPr>
          <w:b/>
          <w:sz w:val="24"/>
          <w:szCs w:val="24"/>
        </w:rPr>
      </w:pPr>
      <w:proofErr w:type="gramStart"/>
      <w:r>
        <w:rPr>
          <w:sz w:val="24"/>
        </w:rPr>
        <w:t>Společnost se podřídila zákonu o obchodních korporacích jako celku.</w:t>
      </w:r>
      <w:proofErr w:type="gramEnd"/>
      <w:r>
        <w:rPr>
          <w:sz w:val="24"/>
        </w:rPr>
        <w:tab/>
      </w:r>
    </w:p>
    <w:p w:rsidR="00B9786C" w:rsidRDefault="00B9786C" w:rsidP="00B9786C">
      <w:pPr>
        <w:tabs>
          <w:tab w:val="left" w:pos="567"/>
          <w:tab w:val="left" w:pos="992"/>
          <w:tab w:val="left" w:pos="3213"/>
        </w:tabs>
        <w:ind w:left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bookmarkStart w:id="1" w:name="_GoBack"/>
      <w:bookmarkEnd w:id="1"/>
    </w:p>
    <w:sectPr w:rsidR="00B9786C" w:rsidSect="00F93723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5062E"/>
    <w:multiLevelType w:val="hybridMultilevel"/>
    <w:tmpl w:val="D1006254"/>
    <w:lvl w:ilvl="0" w:tplc="41000A4E">
      <w:start w:val="3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0B020C20"/>
    <w:multiLevelType w:val="hybridMultilevel"/>
    <w:tmpl w:val="C41C04C4"/>
    <w:lvl w:ilvl="0" w:tplc="3516E354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32264BF4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">
    <w:nsid w:val="0F2A7A80"/>
    <w:multiLevelType w:val="hybridMultilevel"/>
    <w:tmpl w:val="E96085B2"/>
    <w:lvl w:ilvl="0" w:tplc="5B925F0A">
      <w:start w:val="1"/>
      <w:numFmt w:val="decimal"/>
      <w:lvlText w:val="%1."/>
      <w:lvlJc w:val="left"/>
      <w:pPr>
        <w:ind w:left="930" w:hanging="570"/>
      </w:pPr>
      <w:rPr>
        <w:rFonts w:cs="Times New Roman"/>
        <w:color w:val="auto"/>
      </w:rPr>
    </w:lvl>
    <w:lvl w:ilvl="1" w:tplc="A3F6B042">
      <w:start w:val="1"/>
      <w:numFmt w:val="lowerLetter"/>
      <w:lvlText w:val="%2)"/>
      <w:lvlJc w:val="left"/>
      <w:pPr>
        <w:ind w:left="1211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9A61BB9"/>
    <w:multiLevelType w:val="hybridMultilevel"/>
    <w:tmpl w:val="1FAC901C"/>
    <w:lvl w:ilvl="0" w:tplc="2E7A6C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CAD5E0C"/>
    <w:multiLevelType w:val="hybridMultilevel"/>
    <w:tmpl w:val="52BEB7D0"/>
    <w:lvl w:ilvl="0" w:tplc="0405000F">
      <w:start w:val="7"/>
      <w:numFmt w:val="decimal"/>
      <w:lvlText w:val="%1."/>
      <w:lvlJc w:val="left"/>
      <w:pPr>
        <w:ind w:left="1572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2292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3012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732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452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172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892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612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332" w:hanging="180"/>
      </w:pPr>
      <w:rPr>
        <w:rFonts w:cs="Times New Roman"/>
      </w:rPr>
    </w:lvl>
  </w:abstractNum>
  <w:abstractNum w:abstractNumId="5">
    <w:nsid w:val="1D5F04D9"/>
    <w:multiLevelType w:val="multilevel"/>
    <w:tmpl w:val="8A6A9C3A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6"/>
        </w:tabs>
        <w:ind w:left="1416" w:hanging="708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124"/>
        </w:tabs>
        <w:ind w:left="2124" w:hanging="708"/>
      </w:pPr>
      <w:rPr>
        <w:rFonts w:cs="Times New Roman"/>
      </w:rPr>
    </w:lvl>
    <w:lvl w:ilvl="3">
      <w:start w:val="1"/>
      <w:numFmt w:val="decimal"/>
      <w:lvlText w:val="%3)%4."/>
      <w:lvlJc w:val="left"/>
      <w:pPr>
        <w:tabs>
          <w:tab w:val="num" w:pos="0"/>
        </w:tabs>
        <w:ind w:left="2832" w:hanging="708"/>
      </w:pPr>
      <w:rPr>
        <w:rFonts w:cs="Times New Roman"/>
      </w:rPr>
    </w:lvl>
    <w:lvl w:ilvl="4">
      <w:start w:val="1"/>
      <w:numFmt w:val="decimal"/>
      <w:lvlText w:val="%3)%4.%5."/>
      <w:lvlJc w:val="left"/>
      <w:pPr>
        <w:tabs>
          <w:tab w:val="num" w:pos="0"/>
        </w:tabs>
        <w:ind w:left="3540" w:hanging="708"/>
      </w:pPr>
      <w:rPr>
        <w:rFonts w:cs="Times New Roman"/>
      </w:rPr>
    </w:lvl>
    <w:lvl w:ilvl="5">
      <w:start w:val="1"/>
      <w:numFmt w:val="decimal"/>
      <w:lvlText w:val="%3)%4.%5.%6."/>
      <w:lvlJc w:val="left"/>
      <w:pPr>
        <w:tabs>
          <w:tab w:val="num" w:pos="0"/>
        </w:tabs>
        <w:ind w:left="4248" w:hanging="708"/>
      </w:pPr>
      <w:rPr>
        <w:rFonts w:cs="Times New Roman"/>
      </w:rPr>
    </w:lvl>
    <w:lvl w:ilvl="6">
      <w:start w:val="1"/>
      <w:numFmt w:val="decimal"/>
      <w:lvlText w:val="%3)%4.%5.%6.%7."/>
      <w:lvlJc w:val="left"/>
      <w:pPr>
        <w:tabs>
          <w:tab w:val="num" w:pos="0"/>
        </w:tabs>
        <w:ind w:left="4956" w:hanging="708"/>
      </w:pPr>
      <w:rPr>
        <w:rFonts w:cs="Times New Roman"/>
      </w:rPr>
    </w:lvl>
    <w:lvl w:ilvl="7">
      <w:start w:val="1"/>
      <w:numFmt w:val="decimal"/>
      <w:lvlText w:val="%3)%4.%5.%6.%7.%8."/>
      <w:lvlJc w:val="left"/>
      <w:pPr>
        <w:tabs>
          <w:tab w:val="num" w:pos="0"/>
        </w:tabs>
        <w:ind w:left="5664" w:hanging="708"/>
      </w:pPr>
      <w:rPr>
        <w:rFonts w:cs="Times New Roman"/>
      </w:rPr>
    </w:lvl>
    <w:lvl w:ilvl="8">
      <w:start w:val="1"/>
      <w:numFmt w:val="decimal"/>
      <w:lvlText w:val="%3)%4.%5.%6.%7.%8.%9."/>
      <w:lvlJc w:val="left"/>
      <w:pPr>
        <w:tabs>
          <w:tab w:val="num" w:pos="0"/>
        </w:tabs>
        <w:ind w:left="6372" w:hanging="708"/>
      </w:pPr>
      <w:rPr>
        <w:rFonts w:cs="Times New Roman"/>
      </w:rPr>
    </w:lvl>
  </w:abstractNum>
  <w:abstractNum w:abstractNumId="6">
    <w:nsid w:val="2CA444BD"/>
    <w:multiLevelType w:val="hybridMultilevel"/>
    <w:tmpl w:val="4374051C"/>
    <w:lvl w:ilvl="0" w:tplc="040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2D7D4E81"/>
    <w:multiLevelType w:val="hybridMultilevel"/>
    <w:tmpl w:val="D858282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655E63D6">
      <w:start w:val="6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EB57F65"/>
    <w:multiLevelType w:val="hybridMultilevel"/>
    <w:tmpl w:val="86AAB5B2"/>
    <w:lvl w:ilvl="0" w:tplc="5B925F0A">
      <w:start w:val="1"/>
      <w:numFmt w:val="decimal"/>
      <w:lvlText w:val="%1."/>
      <w:lvlJc w:val="left"/>
      <w:pPr>
        <w:ind w:left="930" w:hanging="57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FF45C8C"/>
    <w:multiLevelType w:val="hybridMultilevel"/>
    <w:tmpl w:val="8F70657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EFA32C0"/>
    <w:multiLevelType w:val="hybridMultilevel"/>
    <w:tmpl w:val="796A48B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60E4F05"/>
    <w:multiLevelType w:val="hybridMultilevel"/>
    <w:tmpl w:val="0B029858"/>
    <w:lvl w:ilvl="0" w:tplc="0405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EFC5886"/>
    <w:multiLevelType w:val="hybridMultilevel"/>
    <w:tmpl w:val="5E0A4000"/>
    <w:lvl w:ilvl="0" w:tplc="A10E3AD2">
      <w:start w:val="1"/>
      <w:numFmt w:val="lowerLetter"/>
      <w:lvlText w:val="%1)"/>
      <w:lvlJc w:val="left"/>
      <w:pPr>
        <w:ind w:left="1571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num w:numId="1">
    <w:abstractNumId w:val="7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doNotDisplayPageBoundarie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A02"/>
    <w:rsid w:val="000C0EBC"/>
    <w:rsid w:val="00383A02"/>
    <w:rsid w:val="0053502A"/>
    <w:rsid w:val="008C38BC"/>
    <w:rsid w:val="009905B2"/>
    <w:rsid w:val="009C498F"/>
    <w:rsid w:val="00B9786C"/>
    <w:rsid w:val="00CD2CBA"/>
    <w:rsid w:val="00EC68BF"/>
    <w:rsid w:val="00F9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9786C"/>
    <w:pPr>
      <w:spacing w:after="0" w:line="240" w:lineRule="auto"/>
    </w:pPr>
    <w:rPr>
      <w:rFonts w:ascii="Times New Roman" w:eastAsia="Times New Roman" w:hAnsi="Times New Roman" w:cs="Times New Roman"/>
      <w:szCs w:val="20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B9786C"/>
    <w:rPr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9786C"/>
    <w:pPr>
      <w:overflowPunct w:val="0"/>
      <w:autoSpaceDE w:val="0"/>
      <w:autoSpaceDN w:val="0"/>
      <w:adjustRightInd w:val="0"/>
    </w:pPr>
    <w:rPr>
      <w:sz w:val="24"/>
      <w:lang w:val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B9786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937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9786C"/>
    <w:pPr>
      <w:spacing w:after="0" w:line="240" w:lineRule="auto"/>
    </w:pPr>
    <w:rPr>
      <w:rFonts w:ascii="Times New Roman" w:eastAsia="Times New Roman" w:hAnsi="Times New Roman" w:cs="Times New Roman"/>
      <w:szCs w:val="20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B9786C"/>
    <w:rPr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9786C"/>
    <w:pPr>
      <w:overflowPunct w:val="0"/>
      <w:autoSpaceDE w:val="0"/>
      <w:autoSpaceDN w:val="0"/>
      <w:adjustRightInd w:val="0"/>
    </w:pPr>
    <w:rPr>
      <w:sz w:val="24"/>
      <w:lang w:val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B9786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93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8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2030</Words>
  <Characters>11981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16</cp:revision>
  <dcterms:created xsi:type="dcterms:W3CDTF">2021-04-07T11:24:00Z</dcterms:created>
  <dcterms:modified xsi:type="dcterms:W3CDTF">2021-04-15T12:32:00Z</dcterms:modified>
</cp:coreProperties>
</file>